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46450" w14:textId="77777777" w:rsidR="00182D0F" w:rsidRDefault="00000000">
      <w:pPr>
        <w:jc w:val="center"/>
        <w:rPr>
          <w:b/>
          <w:bCs/>
          <w:kern w:val="0"/>
          <w:position w:val="-4"/>
          <w:sz w:val="32"/>
          <w:szCs w:val="28"/>
        </w:rPr>
      </w:pPr>
      <w:r>
        <w:rPr>
          <w:rFonts w:hint="eastAsia"/>
          <w:b/>
          <w:bCs/>
          <w:kern w:val="0"/>
          <w:position w:val="-4"/>
          <w:sz w:val="32"/>
          <w:szCs w:val="28"/>
        </w:rPr>
        <w:t>国家标准</w:t>
      </w:r>
      <w:r>
        <w:rPr>
          <w:b/>
          <w:bCs/>
          <w:kern w:val="0"/>
          <w:position w:val="-4"/>
          <w:sz w:val="32"/>
          <w:szCs w:val="28"/>
        </w:rPr>
        <w:t>《</w:t>
      </w:r>
      <w:r>
        <w:rPr>
          <w:rFonts w:hint="eastAsia"/>
          <w:b/>
          <w:bCs/>
          <w:kern w:val="0"/>
          <w:position w:val="-4"/>
          <w:sz w:val="32"/>
          <w:szCs w:val="28"/>
        </w:rPr>
        <w:t>表面活性剂</w:t>
      </w:r>
      <w:r>
        <w:rPr>
          <w:rFonts w:hint="eastAsia"/>
          <w:b/>
          <w:bCs/>
          <w:kern w:val="0"/>
          <w:position w:val="-4"/>
          <w:sz w:val="32"/>
          <w:szCs w:val="28"/>
        </w:rPr>
        <w:t xml:space="preserve">  </w:t>
      </w:r>
      <w:r>
        <w:rPr>
          <w:rFonts w:hint="eastAsia"/>
          <w:b/>
          <w:bCs/>
          <w:kern w:val="0"/>
          <w:position w:val="-4"/>
          <w:sz w:val="32"/>
          <w:szCs w:val="28"/>
        </w:rPr>
        <w:t>洗涤剂试验方法</w:t>
      </w:r>
      <w:r>
        <w:rPr>
          <w:b/>
          <w:bCs/>
          <w:kern w:val="0"/>
          <w:position w:val="-4"/>
          <w:sz w:val="32"/>
          <w:szCs w:val="28"/>
        </w:rPr>
        <w:t>》</w:t>
      </w:r>
    </w:p>
    <w:p w14:paraId="0B095264" w14:textId="77777777" w:rsidR="00182D0F" w:rsidRDefault="00000000">
      <w:pPr>
        <w:jc w:val="center"/>
        <w:rPr>
          <w:b/>
          <w:bCs/>
          <w:kern w:val="0"/>
          <w:position w:val="-4"/>
          <w:sz w:val="32"/>
          <w:szCs w:val="30"/>
        </w:rPr>
      </w:pPr>
      <w:r>
        <w:rPr>
          <w:b/>
          <w:bCs/>
          <w:kern w:val="0"/>
          <w:position w:val="-4"/>
          <w:sz w:val="32"/>
          <w:szCs w:val="28"/>
        </w:rPr>
        <w:t>编</w:t>
      </w:r>
      <w:r>
        <w:rPr>
          <w:b/>
          <w:bCs/>
          <w:spacing w:val="-5"/>
          <w:kern w:val="0"/>
          <w:position w:val="-4"/>
          <w:sz w:val="32"/>
          <w:szCs w:val="28"/>
        </w:rPr>
        <w:t>制</w:t>
      </w:r>
      <w:r>
        <w:rPr>
          <w:b/>
          <w:bCs/>
          <w:kern w:val="0"/>
          <w:position w:val="-4"/>
          <w:sz w:val="32"/>
          <w:szCs w:val="28"/>
        </w:rPr>
        <w:t>说明</w:t>
      </w:r>
      <w:r>
        <w:rPr>
          <w:rFonts w:hint="eastAsia"/>
          <w:b/>
          <w:bCs/>
          <w:kern w:val="0"/>
          <w:position w:val="-4"/>
          <w:sz w:val="32"/>
          <w:szCs w:val="30"/>
        </w:rPr>
        <w:t>（征求意见稿）</w:t>
      </w:r>
    </w:p>
    <w:p w14:paraId="7FAA8D95" w14:textId="77777777" w:rsidR="00182D0F" w:rsidRDefault="00182D0F">
      <w:pPr>
        <w:jc w:val="center"/>
        <w:rPr>
          <w:b/>
          <w:bCs/>
          <w:kern w:val="0"/>
          <w:position w:val="-4"/>
          <w:sz w:val="32"/>
          <w:szCs w:val="30"/>
        </w:rPr>
      </w:pPr>
    </w:p>
    <w:p w14:paraId="4D06835E" w14:textId="77777777" w:rsidR="00182D0F" w:rsidRDefault="00000000">
      <w:pPr>
        <w:spacing w:beforeLines="50" w:before="156" w:afterLines="50" w:after="156"/>
        <w:rPr>
          <w:rFonts w:ascii="宋体" w:hAnsi="宋体" w:hint="eastAsia"/>
          <w:b/>
          <w:szCs w:val="21"/>
        </w:rPr>
      </w:pPr>
      <w:r>
        <w:rPr>
          <w:rFonts w:ascii="宋体" w:hAnsi="宋体" w:hint="eastAsia"/>
          <w:b/>
          <w:szCs w:val="21"/>
        </w:rPr>
        <w:t>一、工作简况</w:t>
      </w:r>
    </w:p>
    <w:p w14:paraId="0DEA78E8" w14:textId="77777777" w:rsidR="00182D0F" w:rsidRDefault="00000000">
      <w:pPr>
        <w:rPr>
          <w:rFonts w:ascii="宋体" w:hAnsi="宋体" w:hint="eastAsia"/>
          <w:b/>
          <w:szCs w:val="21"/>
        </w:rPr>
      </w:pPr>
      <w:r>
        <w:rPr>
          <w:rFonts w:ascii="宋体" w:hAnsi="宋体" w:hint="eastAsia"/>
          <w:b/>
          <w:szCs w:val="21"/>
        </w:rPr>
        <w:t>1、任务来源</w:t>
      </w:r>
    </w:p>
    <w:p w14:paraId="772D01E4" w14:textId="227F9F90" w:rsidR="00182D0F" w:rsidRDefault="00000000">
      <w:pPr>
        <w:pStyle w:val="af1"/>
        <w:ind w:firstLine="420"/>
        <w:rPr>
          <w:rFonts w:ascii="ˎ̥" w:hAnsi="ˎ̥" w:hint="eastAsia"/>
        </w:rPr>
      </w:pPr>
      <w:r>
        <w:rPr>
          <w:rFonts w:hint="eastAsia"/>
        </w:rPr>
        <w:t>本项目是</w:t>
      </w:r>
      <w:r w:rsidR="000648EC">
        <w:rPr>
          <w:rFonts w:hint="eastAsia"/>
        </w:rPr>
        <w:t>依据SAC/TC272对标准复审结论提出</w:t>
      </w:r>
      <w:r>
        <w:rPr>
          <w:rFonts w:hint="eastAsia"/>
        </w:rPr>
        <w:t>，计划编号为XXX，</w:t>
      </w:r>
      <w:r>
        <w:rPr>
          <w:rFonts w:ascii="ˎ̥" w:hAnsi="ˎ̥" w:hint="eastAsia"/>
        </w:rPr>
        <w:t>项目名称《表面活性剂</w:t>
      </w:r>
      <w:r>
        <w:rPr>
          <w:rFonts w:ascii="ˎ̥" w:hAnsi="ˎ̥" w:hint="eastAsia"/>
        </w:rPr>
        <w:t xml:space="preserve"> </w:t>
      </w:r>
      <w:r>
        <w:rPr>
          <w:rFonts w:ascii="ˎ̥" w:hAnsi="ˎ̥"/>
        </w:rPr>
        <w:t xml:space="preserve"> </w:t>
      </w:r>
      <w:r>
        <w:rPr>
          <w:rFonts w:ascii="ˎ̥" w:hAnsi="ˎ̥" w:hint="eastAsia"/>
        </w:rPr>
        <w:t>洗涤剂试验方法》，项目编号</w:t>
      </w:r>
      <w:r>
        <w:rPr>
          <w:rFonts w:ascii="ˎ̥" w:hAnsi="ˎ̥" w:hint="eastAsia"/>
        </w:rPr>
        <w:t>XXX</w:t>
      </w:r>
      <w:r>
        <w:rPr>
          <w:rFonts w:ascii="ˎ̥" w:hAnsi="ˎ̥" w:hint="eastAsia"/>
        </w:rPr>
        <w:t>。主要起草单位：中国日用化学工业研究院</w:t>
      </w:r>
      <w:r w:rsidR="000648EC">
        <w:rPr>
          <w:rFonts w:ascii="ˎ̥" w:hAnsi="ˎ̥" w:hint="eastAsia"/>
        </w:rPr>
        <w:t>等</w:t>
      </w:r>
      <w:r>
        <w:rPr>
          <w:rFonts w:ascii="ˎ̥" w:hAnsi="ˎ̥" w:hint="eastAsia"/>
        </w:rPr>
        <w:t>，</w:t>
      </w:r>
      <w:r>
        <w:rPr>
          <w:rFonts w:hint="eastAsia"/>
        </w:rPr>
        <w:t>项目制定周期</w:t>
      </w:r>
      <w:r w:rsidR="000648EC">
        <w:rPr>
          <w:rFonts w:hint="eastAsia"/>
        </w:rPr>
        <w:t>6</w:t>
      </w:r>
      <w:r>
        <w:rPr>
          <w:rFonts w:hint="eastAsia"/>
        </w:rPr>
        <w:t>个月</w:t>
      </w:r>
      <w:r>
        <w:rPr>
          <w:rFonts w:ascii="ˎ̥" w:hAnsi="ˎ̥" w:hint="eastAsia"/>
        </w:rPr>
        <w:t>。</w:t>
      </w:r>
    </w:p>
    <w:p w14:paraId="14AE8F14" w14:textId="77777777" w:rsidR="00182D0F" w:rsidRDefault="00000000">
      <w:pPr>
        <w:rPr>
          <w:rFonts w:ascii="ˎ̥" w:hAnsi="ˎ̥" w:hint="eastAsia"/>
          <w:b/>
          <w:szCs w:val="21"/>
        </w:rPr>
      </w:pPr>
      <w:r>
        <w:rPr>
          <w:rFonts w:ascii="ˎ̥" w:hAnsi="ˎ̥"/>
          <w:b/>
          <w:szCs w:val="21"/>
        </w:rPr>
        <w:t>2</w:t>
      </w:r>
      <w:r>
        <w:rPr>
          <w:rFonts w:ascii="ˎ̥" w:hAnsi="ˎ̥" w:hint="eastAsia"/>
          <w:b/>
          <w:szCs w:val="21"/>
        </w:rPr>
        <w:t>、主要工作过程</w:t>
      </w:r>
    </w:p>
    <w:p w14:paraId="07B3A080" w14:textId="77777777" w:rsidR="00182D0F" w:rsidRDefault="00000000">
      <w:pPr>
        <w:ind w:leftChars="1" w:left="2" w:firstLineChars="200" w:firstLine="422"/>
        <w:rPr>
          <w:rFonts w:ascii="ˎ̥" w:hAnsi="ˎ̥" w:hint="eastAsia"/>
          <w:szCs w:val="21"/>
        </w:rPr>
      </w:pPr>
      <w:r>
        <w:rPr>
          <w:rFonts w:ascii="宋体" w:hAnsi="宋体" w:hint="eastAsia"/>
          <w:b/>
        </w:rPr>
        <w:t>修订阶段：</w:t>
      </w:r>
      <w:r>
        <w:rPr>
          <w:rFonts w:ascii="ˎ̥" w:hAnsi="ˎ̥" w:hint="eastAsia"/>
          <w:szCs w:val="21"/>
        </w:rPr>
        <w:t>GB/T 13173-2021</w:t>
      </w:r>
      <w:r>
        <w:rPr>
          <w:rFonts w:ascii="ˎ̥" w:hAnsi="ˎ̥" w:hint="eastAsia"/>
          <w:szCs w:val="21"/>
        </w:rPr>
        <w:t>《表面活性剂</w:t>
      </w:r>
      <w:r>
        <w:rPr>
          <w:rFonts w:ascii="ˎ̥" w:hAnsi="ˎ̥" w:hint="eastAsia"/>
          <w:szCs w:val="21"/>
        </w:rPr>
        <w:t xml:space="preserve"> </w:t>
      </w:r>
      <w:r>
        <w:rPr>
          <w:rFonts w:ascii="ˎ̥" w:hAnsi="ˎ̥" w:hint="eastAsia"/>
          <w:szCs w:val="21"/>
        </w:rPr>
        <w:t>洗涤剂试验方法》实施至今已满五年，是我国洗涤用品行业质量检测、生产质控、市场监督抽检的基础性通用国家标准。本文本自发布实施以来，对表面活性剂、洗涤剂的测定起到了积极有效的作用。随着表面活性剂</w:t>
      </w:r>
      <w:r>
        <w:rPr>
          <w:rFonts w:ascii="ˎ̥" w:hAnsi="ˎ̥" w:hint="eastAsia"/>
          <w:szCs w:val="21"/>
        </w:rPr>
        <w:t xml:space="preserve"> </w:t>
      </w:r>
      <w:r>
        <w:rPr>
          <w:rFonts w:ascii="ˎ̥" w:hAnsi="ˎ̥" w:hint="eastAsia"/>
          <w:szCs w:val="21"/>
        </w:rPr>
        <w:t>洗涤剂行业快速发展，功能性复合洗涤剂、新型表面活性剂产品持续迭代，现有标准部分试验操作条款存在适应性不够、关键控制参数需增加适配条件、新型基质适配性不足等问题，导致不同实验室操作存在差异、检测再现性不佳，易引发检测偏差与质量争议，不能完全满足当前产业质控和监管工作需要，亟需修订完善。</w:t>
      </w:r>
    </w:p>
    <w:p w14:paraId="112104C0" w14:textId="0978FDBF" w:rsidR="00182D0F" w:rsidRDefault="00000000">
      <w:pPr>
        <w:ind w:leftChars="1" w:left="2" w:firstLineChars="200" w:firstLine="420"/>
        <w:rPr>
          <w:rFonts w:ascii="ˎ̥" w:hAnsi="ˎ̥" w:hint="eastAsia"/>
          <w:szCs w:val="21"/>
        </w:rPr>
      </w:pPr>
      <w:r>
        <w:rPr>
          <w:rFonts w:ascii="ˎ̥" w:hAnsi="ˎ̥" w:hint="eastAsia"/>
          <w:szCs w:val="21"/>
        </w:rPr>
        <w:t>起草单位</w:t>
      </w:r>
      <w:r w:rsidR="000648EC">
        <w:rPr>
          <w:rFonts w:ascii="ˎ̥" w:hAnsi="ˎ̥" w:hint="eastAsia"/>
          <w:szCs w:val="21"/>
        </w:rPr>
        <w:t>根据复审中各方意见，提出修订结论上报</w:t>
      </w:r>
      <w:r>
        <w:rPr>
          <w:rFonts w:ascii="ˎ̥" w:hAnsi="ˎ̥" w:hint="eastAsia"/>
          <w:szCs w:val="21"/>
        </w:rPr>
        <w:t>，</w:t>
      </w:r>
      <w:r w:rsidR="000648EC">
        <w:rPr>
          <w:rFonts w:ascii="ˎ̥" w:hAnsi="ˎ̥" w:hint="eastAsia"/>
          <w:szCs w:val="21"/>
        </w:rPr>
        <w:t>同时</w:t>
      </w:r>
      <w:r>
        <w:rPr>
          <w:rFonts w:ascii="ˎ̥" w:hAnsi="ˎ̥" w:hint="eastAsia"/>
          <w:szCs w:val="21"/>
        </w:rPr>
        <w:t>组成标准修订工作组，</w:t>
      </w:r>
      <w:r w:rsidR="000648EC">
        <w:rPr>
          <w:rFonts w:ascii="ˎ̥" w:hAnsi="ˎ̥" w:hint="eastAsia"/>
          <w:szCs w:val="21"/>
        </w:rPr>
        <w:t>依据</w:t>
      </w:r>
      <w:r>
        <w:rPr>
          <w:rFonts w:ascii="ˎ̥" w:hAnsi="ˎ̥" w:hint="eastAsia"/>
          <w:szCs w:val="21"/>
        </w:rPr>
        <w:t>标准实施五年来的应用情况，于</w:t>
      </w:r>
      <w:r>
        <w:rPr>
          <w:rFonts w:ascii="ˎ̥" w:hAnsi="ˎ̥" w:hint="eastAsia"/>
          <w:szCs w:val="21"/>
        </w:rPr>
        <w:t>2026</w:t>
      </w:r>
      <w:r>
        <w:rPr>
          <w:rFonts w:ascii="ˎ̥" w:hAnsi="ˎ̥" w:hint="eastAsia"/>
          <w:szCs w:val="21"/>
        </w:rPr>
        <w:t>年</w:t>
      </w:r>
      <w:r>
        <w:rPr>
          <w:rFonts w:ascii="ˎ̥" w:hAnsi="ˎ̥" w:hint="eastAsia"/>
          <w:szCs w:val="21"/>
        </w:rPr>
        <w:t>8</w:t>
      </w:r>
      <w:r>
        <w:rPr>
          <w:rFonts w:ascii="ˎ̥" w:hAnsi="ˎ̥" w:hint="eastAsia"/>
          <w:szCs w:val="21"/>
        </w:rPr>
        <w:t>月形成标准初稿</w:t>
      </w:r>
      <w:r w:rsidR="000648EC">
        <w:rPr>
          <w:rFonts w:ascii="ˎ̥" w:hAnsi="ˎ̥" w:hint="eastAsia"/>
          <w:szCs w:val="21"/>
        </w:rPr>
        <w:t>。经进一步</w:t>
      </w:r>
      <w:r>
        <w:rPr>
          <w:rFonts w:ascii="ˎ̥" w:hAnsi="ˎ̥" w:hint="eastAsia"/>
          <w:szCs w:val="21"/>
        </w:rPr>
        <w:t>修改提出</w:t>
      </w:r>
      <w:r w:rsidR="000648EC">
        <w:rPr>
          <w:rFonts w:ascii="ˎ̥" w:hAnsi="ˎ̥" w:hint="eastAsia"/>
          <w:szCs w:val="21"/>
        </w:rPr>
        <w:t>本</w:t>
      </w:r>
      <w:r>
        <w:rPr>
          <w:rFonts w:ascii="ˎ̥" w:hAnsi="ˎ̥" w:hint="eastAsia"/>
          <w:szCs w:val="21"/>
        </w:rPr>
        <w:t>征求意见稿。</w:t>
      </w:r>
    </w:p>
    <w:p w14:paraId="3AC000B5" w14:textId="77777777" w:rsidR="00182D0F" w:rsidRDefault="00000000">
      <w:pPr>
        <w:ind w:leftChars="1" w:left="2" w:firstLineChars="200" w:firstLine="422"/>
        <w:rPr>
          <w:rFonts w:ascii="ˎ̥" w:hAnsi="ˎ̥" w:hint="eastAsia"/>
          <w:bCs/>
          <w:szCs w:val="21"/>
        </w:rPr>
      </w:pPr>
      <w:r>
        <w:rPr>
          <w:rFonts w:ascii="ˎ̥" w:hAnsi="ˎ̥" w:hint="eastAsia"/>
          <w:b/>
          <w:szCs w:val="21"/>
        </w:rPr>
        <w:t>征求意见阶段：</w:t>
      </w:r>
    </w:p>
    <w:p w14:paraId="72E7FA1D" w14:textId="77777777" w:rsidR="00182D0F" w:rsidRDefault="00000000">
      <w:pPr>
        <w:ind w:leftChars="1" w:left="2" w:firstLineChars="200" w:firstLine="422"/>
        <w:rPr>
          <w:rFonts w:ascii="ˎ̥" w:hAnsi="ˎ̥" w:hint="eastAsia"/>
          <w:bCs/>
          <w:szCs w:val="21"/>
        </w:rPr>
      </w:pPr>
      <w:r>
        <w:rPr>
          <w:rFonts w:ascii="ˎ̥" w:hAnsi="ˎ̥" w:hint="eastAsia"/>
          <w:b/>
          <w:szCs w:val="21"/>
        </w:rPr>
        <w:t>审查阶段：</w:t>
      </w:r>
    </w:p>
    <w:p w14:paraId="48732CFC" w14:textId="77777777" w:rsidR="00182D0F" w:rsidRDefault="00000000">
      <w:pPr>
        <w:ind w:leftChars="1" w:left="2" w:firstLineChars="200" w:firstLine="422"/>
        <w:rPr>
          <w:rFonts w:ascii="ˎ̥" w:hAnsi="ˎ̥" w:hint="eastAsia"/>
          <w:szCs w:val="21"/>
        </w:rPr>
      </w:pPr>
      <w:r>
        <w:rPr>
          <w:rFonts w:ascii="ˎ̥" w:hAnsi="ˎ̥" w:hint="eastAsia"/>
          <w:b/>
          <w:szCs w:val="21"/>
        </w:rPr>
        <w:t>报批阶段：</w:t>
      </w:r>
    </w:p>
    <w:p w14:paraId="0591A288" w14:textId="77777777" w:rsidR="00182D0F" w:rsidRDefault="00000000">
      <w:pPr>
        <w:rPr>
          <w:rFonts w:ascii="ˎ̥" w:hAnsi="ˎ̥" w:hint="eastAsia"/>
          <w:b/>
          <w:szCs w:val="21"/>
        </w:rPr>
      </w:pPr>
      <w:r>
        <w:rPr>
          <w:rFonts w:ascii="ˎ̥" w:hAnsi="ˎ̥"/>
          <w:b/>
          <w:szCs w:val="21"/>
        </w:rPr>
        <w:t>3</w:t>
      </w:r>
      <w:r>
        <w:rPr>
          <w:rFonts w:ascii="ˎ̥" w:hAnsi="ˎ̥" w:hint="eastAsia"/>
          <w:b/>
          <w:szCs w:val="21"/>
        </w:rPr>
        <w:t>、主要参加单位和工作组成员</w:t>
      </w:r>
    </w:p>
    <w:p w14:paraId="3F14ECDC" w14:textId="01AB4AC7" w:rsidR="00182D0F" w:rsidRDefault="00000000">
      <w:pPr>
        <w:ind w:leftChars="1" w:left="2" w:firstLineChars="200" w:firstLine="420"/>
        <w:rPr>
          <w:rFonts w:ascii="ˎ̥" w:hAnsi="ˎ̥" w:hint="eastAsia"/>
          <w:szCs w:val="21"/>
        </w:rPr>
      </w:pPr>
      <w:r>
        <w:rPr>
          <w:rFonts w:ascii="ˎ̥" w:hAnsi="ˎ̥" w:hint="eastAsia"/>
          <w:szCs w:val="21"/>
        </w:rPr>
        <w:t>主要起草单位：中国日用化学研究院有限公司、</w:t>
      </w:r>
      <w:r>
        <w:rPr>
          <w:rFonts w:hint="eastAsia"/>
        </w:rPr>
        <w:t>中轻检验认证（太原）有限公司。</w:t>
      </w:r>
    </w:p>
    <w:p w14:paraId="20CF8944" w14:textId="77777777" w:rsidR="00182D0F" w:rsidRDefault="00000000">
      <w:pPr>
        <w:ind w:leftChars="1" w:left="2" w:firstLineChars="200" w:firstLine="420"/>
        <w:rPr>
          <w:rFonts w:ascii="ˎ̥" w:hAnsi="ˎ̥" w:hint="eastAsia"/>
          <w:szCs w:val="21"/>
        </w:rPr>
      </w:pPr>
      <w:r>
        <w:rPr>
          <w:rFonts w:ascii="ˎ̥" w:hAnsi="ˎ̥" w:hint="eastAsia"/>
          <w:szCs w:val="21"/>
        </w:rPr>
        <w:t>工作组成员：</w:t>
      </w:r>
    </w:p>
    <w:p w14:paraId="54D1CB45" w14:textId="77777777" w:rsidR="00182D0F" w:rsidRDefault="00000000">
      <w:pPr>
        <w:spacing w:beforeLines="50" w:before="156" w:afterLines="50" w:after="156"/>
        <w:rPr>
          <w:rFonts w:ascii="宋体" w:hAnsi="宋体" w:hint="eastAsia"/>
          <w:b/>
          <w:szCs w:val="21"/>
        </w:rPr>
      </w:pPr>
      <w:r>
        <w:rPr>
          <w:rFonts w:ascii="宋体" w:hAnsi="宋体" w:hint="eastAsia"/>
          <w:b/>
          <w:szCs w:val="21"/>
        </w:rPr>
        <w:t>二、标准编制原则和主要内容</w:t>
      </w:r>
    </w:p>
    <w:p w14:paraId="0F70008B" w14:textId="77777777" w:rsidR="00182D0F" w:rsidRDefault="00000000">
      <w:pPr>
        <w:autoSpaceDE w:val="0"/>
        <w:autoSpaceDN w:val="0"/>
        <w:adjustRightInd w:val="0"/>
        <w:snapToGrid w:val="0"/>
        <w:spacing w:beforeLines="20" w:before="62" w:afterLines="20" w:after="62"/>
        <w:jc w:val="left"/>
        <w:rPr>
          <w:rFonts w:ascii="ˎ̥" w:hAnsi="ˎ̥" w:hint="eastAsia"/>
          <w:b/>
          <w:szCs w:val="21"/>
        </w:rPr>
      </w:pPr>
      <w:r>
        <w:rPr>
          <w:rFonts w:ascii="ˎ̥" w:hAnsi="ˎ̥"/>
          <w:b/>
          <w:szCs w:val="21"/>
        </w:rPr>
        <w:t>1</w:t>
      </w:r>
      <w:r>
        <w:rPr>
          <w:rFonts w:ascii="ˎ̥" w:hAnsi="ˎ̥" w:hint="eastAsia"/>
          <w:b/>
          <w:szCs w:val="21"/>
        </w:rPr>
        <w:t>、标准编制原则</w:t>
      </w:r>
    </w:p>
    <w:p w14:paraId="56D18C3E" w14:textId="77777777" w:rsidR="00182D0F" w:rsidRDefault="00000000">
      <w:pPr>
        <w:ind w:firstLineChars="200" w:firstLine="420"/>
        <w:rPr>
          <w:rFonts w:ascii="ˎ̥" w:hAnsi="ˎ̥" w:hint="eastAsia"/>
          <w:szCs w:val="21"/>
        </w:rPr>
      </w:pPr>
      <w:r>
        <w:rPr>
          <w:rFonts w:ascii="ˎ̥" w:hAnsi="ˎ̥" w:hint="eastAsia"/>
          <w:szCs w:val="21"/>
        </w:rPr>
        <w:t>标准作为检测洗涤剂质量的基础标准，给出了多项检测分析洗涤剂成分和性能的方法，对于统一、规范评价洗涤剂产品有着重要作用。</w:t>
      </w:r>
    </w:p>
    <w:p w14:paraId="3FFE05C2" w14:textId="77777777" w:rsidR="00182D0F" w:rsidRDefault="00000000">
      <w:pPr>
        <w:ind w:firstLineChars="200" w:firstLine="420"/>
        <w:rPr>
          <w:szCs w:val="21"/>
        </w:rPr>
      </w:pPr>
      <w:r>
        <w:rPr>
          <w:rFonts w:hAnsi="ˎ̥" w:hint="eastAsia"/>
          <w:szCs w:val="21"/>
        </w:rPr>
        <w:t>标</w:t>
      </w:r>
      <w:r>
        <w:rPr>
          <w:rFonts w:hint="eastAsia"/>
          <w:szCs w:val="21"/>
        </w:rPr>
        <w:t>准起草过程中，</w:t>
      </w:r>
      <w:r>
        <w:t>主要按</w:t>
      </w:r>
      <w:r>
        <w:t>GB/T 1.1</w:t>
      </w:r>
      <w:r>
        <w:t>－</w:t>
      </w:r>
      <w:r>
        <w:t>2020</w:t>
      </w:r>
      <w:r>
        <w:t>《标准化工作导则</w:t>
      </w:r>
      <w:r>
        <w:t xml:space="preserve"> </w:t>
      </w:r>
      <w:r>
        <w:t>第</w:t>
      </w:r>
      <w:r>
        <w:t>1</w:t>
      </w:r>
      <w:r>
        <w:t>部分：标准的结构和编写》进行编写。</w:t>
      </w:r>
    </w:p>
    <w:p w14:paraId="0F2FB826" w14:textId="77777777" w:rsidR="00182D0F" w:rsidRDefault="00000000">
      <w:pPr>
        <w:spacing w:beforeLines="40" w:before="124" w:afterLines="40" w:after="124"/>
        <w:rPr>
          <w:rFonts w:ascii="ˎ̥" w:hAnsi="ˎ̥" w:hint="eastAsia"/>
          <w:b/>
          <w:szCs w:val="21"/>
        </w:rPr>
      </w:pPr>
      <w:r>
        <w:rPr>
          <w:rFonts w:ascii="ˎ̥" w:hAnsi="ˎ̥" w:hint="eastAsia"/>
          <w:b/>
          <w:szCs w:val="21"/>
        </w:rPr>
        <w:t>2</w:t>
      </w:r>
      <w:r>
        <w:rPr>
          <w:rFonts w:ascii="ˎ̥" w:hAnsi="ˎ̥" w:hint="eastAsia"/>
          <w:b/>
          <w:szCs w:val="21"/>
        </w:rPr>
        <w:t>、标准主要修订内容</w:t>
      </w:r>
    </w:p>
    <w:p w14:paraId="34B84706" w14:textId="77777777" w:rsidR="00182D0F" w:rsidRDefault="00000000">
      <w:pPr>
        <w:ind w:firstLineChars="200" w:firstLine="420"/>
        <w:rPr>
          <w:rFonts w:cs="宋体"/>
          <w:kern w:val="0"/>
          <w:szCs w:val="21"/>
        </w:rPr>
      </w:pPr>
      <w:r>
        <w:rPr>
          <w:rFonts w:cs="宋体" w:hint="eastAsia"/>
          <w:kern w:val="0"/>
          <w:szCs w:val="21"/>
        </w:rPr>
        <w:t>标准代替</w:t>
      </w:r>
      <w:r>
        <w:rPr>
          <w:rFonts w:cs="宋体" w:hint="eastAsia"/>
          <w:kern w:val="0"/>
          <w:szCs w:val="21"/>
        </w:rPr>
        <w:t>GB/T 13173-2021</w:t>
      </w:r>
      <w:r>
        <w:rPr>
          <w:rFonts w:cs="宋体" w:hint="eastAsia"/>
          <w:kern w:val="0"/>
          <w:szCs w:val="21"/>
        </w:rPr>
        <w:t>《表面活性剂</w:t>
      </w:r>
      <w:r>
        <w:rPr>
          <w:rFonts w:cs="宋体" w:hint="eastAsia"/>
          <w:kern w:val="0"/>
          <w:szCs w:val="21"/>
        </w:rPr>
        <w:t xml:space="preserve">  </w:t>
      </w:r>
      <w:r>
        <w:rPr>
          <w:rFonts w:cs="宋体" w:hint="eastAsia"/>
          <w:kern w:val="0"/>
          <w:szCs w:val="21"/>
        </w:rPr>
        <w:t>洗涤剂试验方法》，与</w:t>
      </w:r>
      <w:r>
        <w:rPr>
          <w:rFonts w:cs="宋体" w:hint="eastAsia"/>
          <w:kern w:val="0"/>
          <w:szCs w:val="21"/>
        </w:rPr>
        <w:t>GB/T 13173-2021</w:t>
      </w:r>
      <w:r>
        <w:rPr>
          <w:rFonts w:cs="宋体" w:hint="eastAsia"/>
          <w:kern w:val="0"/>
          <w:szCs w:val="21"/>
        </w:rPr>
        <w:t>相比，主要技术变化如下：</w:t>
      </w:r>
    </w:p>
    <w:p w14:paraId="1C897405" w14:textId="77777777" w:rsidR="00182D0F" w:rsidRDefault="00000000">
      <w:pPr>
        <w:ind w:firstLineChars="200" w:firstLine="420"/>
        <w:rPr>
          <w:color w:val="000000"/>
          <w:szCs w:val="21"/>
        </w:rPr>
      </w:pPr>
      <w:r>
        <w:rPr>
          <w:rFonts w:hint="eastAsia"/>
          <w:color w:val="000000"/>
          <w:szCs w:val="21"/>
        </w:rPr>
        <w:t>——增加了洗涤剂中总五氧化二磷的测定磷钼蓝比色法的带色样品试样处理方式（见</w:t>
      </w:r>
      <w:r>
        <w:rPr>
          <w:rFonts w:hint="eastAsia"/>
          <w:color w:val="000000"/>
          <w:szCs w:val="21"/>
        </w:rPr>
        <w:t>6.2.4.2</w:t>
      </w:r>
      <w:r>
        <w:rPr>
          <w:rFonts w:hint="eastAsia"/>
          <w:color w:val="000000"/>
          <w:szCs w:val="21"/>
        </w:rPr>
        <w:t>，</w:t>
      </w:r>
      <w:r>
        <w:rPr>
          <w:rFonts w:hint="eastAsia"/>
          <w:color w:val="000000"/>
          <w:szCs w:val="21"/>
        </w:rPr>
        <w:t>2008</w:t>
      </w:r>
      <w:r>
        <w:rPr>
          <w:rFonts w:hint="eastAsia"/>
          <w:color w:val="000000"/>
          <w:szCs w:val="21"/>
        </w:rPr>
        <w:t>年版的</w:t>
      </w:r>
      <w:r>
        <w:rPr>
          <w:rFonts w:hint="eastAsia"/>
          <w:color w:val="000000"/>
          <w:szCs w:val="21"/>
        </w:rPr>
        <w:t>6.2.4.2</w:t>
      </w:r>
      <w:r>
        <w:rPr>
          <w:rFonts w:hint="eastAsia"/>
          <w:color w:val="000000"/>
          <w:szCs w:val="21"/>
        </w:rPr>
        <w:t>）；</w:t>
      </w:r>
    </w:p>
    <w:p w14:paraId="60349831" w14:textId="77777777" w:rsidR="00182D0F" w:rsidRDefault="00000000">
      <w:pPr>
        <w:ind w:firstLineChars="200" w:firstLine="420"/>
        <w:rPr>
          <w:color w:val="000000"/>
          <w:szCs w:val="21"/>
        </w:rPr>
      </w:pPr>
      <w:r>
        <w:rPr>
          <w:rFonts w:hint="eastAsia"/>
          <w:color w:val="000000"/>
          <w:szCs w:val="21"/>
        </w:rPr>
        <w:t>——增加了洗涤剂中</w:t>
      </w:r>
      <w:r>
        <w:rPr>
          <w:rStyle w:val="af"/>
        </w:rPr>
        <w:t>总活性物含量的测定</w:t>
      </w:r>
      <w:r>
        <w:rPr>
          <w:rStyle w:val="af"/>
          <w:rFonts w:hint="eastAsia"/>
        </w:rPr>
        <w:t>中乙醇溶解物中氯化物含量测定时有颜色干扰时使用电位滴定测试氯化物的方法（见</w:t>
      </w:r>
      <w:r>
        <w:rPr>
          <w:rStyle w:val="af"/>
          <w:rFonts w:hint="eastAsia"/>
        </w:rPr>
        <w:t>7.4.1.2</w:t>
      </w:r>
      <w:r>
        <w:rPr>
          <w:rStyle w:val="af"/>
          <w:rFonts w:hint="eastAsia"/>
        </w:rPr>
        <w:t>，</w:t>
      </w:r>
      <w:r>
        <w:rPr>
          <w:rStyle w:val="af"/>
          <w:rFonts w:hint="eastAsia"/>
        </w:rPr>
        <w:t>2021</w:t>
      </w:r>
      <w:r>
        <w:rPr>
          <w:rStyle w:val="af"/>
          <w:rFonts w:hint="eastAsia"/>
        </w:rPr>
        <w:t>年版的</w:t>
      </w:r>
      <w:r>
        <w:rPr>
          <w:rStyle w:val="af"/>
          <w:rFonts w:hint="eastAsia"/>
        </w:rPr>
        <w:t>7.4.1.2</w:t>
      </w:r>
      <w:r>
        <w:rPr>
          <w:rStyle w:val="af"/>
          <w:rFonts w:hint="eastAsia"/>
        </w:rPr>
        <w:t>）</w:t>
      </w:r>
    </w:p>
    <w:p w14:paraId="5CBF685D" w14:textId="77777777" w:rsidR="00182D0F" w:rsidRDefault="00000000">
      <w:pPr>
        <w:ind w:firstLineChars="200" w:firstLine="420"/>
        <w:rPr>
          <w:color w:val="000000"/>
          <w:szCs w:val="21"/>
        </w:rPr>
      </w:pPr>
      <w:r>
        <w:rPr>
          <w:rFonts w:hint="eastAsia"/>
          <w:color w:val="000000"/>
          <w:szCs w:val="21"/>
        </w:rPr>
        <w:t>——增加了洗涤剂中非离子表面活性剂含量的测定中称样量指导（见</w:t>
      </w:r>
      <w:r>
        <w:rPr>
          <w:rFonts w:hint="eastAsia"/>
          <w:color w:val="000000"/>
          <w:szCs w:val="21"/>
        </w:rPr>
        <w:t>8.4.2</w:t>
      </w:r>
      <w:r>
        <w:rPr>
          <w:rFonts w:hint="eastAsia"/>
          <w:color w:val="000000"/>
          <w:szCs w:val="21"/>
        </w:rPr>
        <w:t>，</w:t>
      </w:r>
      <w:r>
        <w:rPr>
          <w:rFonts w:hint="eastAsia"/>
          <w:color w:val="000000"/>
          <w:szCs w:val="21"/>
        </w:rPr>
        <w:t>2021</w:t>
      </w:r>
      <w:r>
        <w:rPr>
          <w:rFonts w:hint="eastAsia"/>
          <w:color w:val="000000"/>
          <w:szCs w:val="21"/>
        </w:rPr>
        <w:t>年版的</w:t>
      </w:r>
      <w:r>
        <w:rPr>
          <w:rFonts w:hint="eastAsia"/>
          <w:color w:val="000000"/>
          <w:szCs w:val="21"/>
        </w:rPr>
        <w:t>8.4.2</w:t>
      </w:r>
      <w:r>
        <w:rPr>
          <w:rFonts w:hint="eastAsia"/>
          <w:color w:val="000000"/>
          <w:szCs w:val="21"/>
        </w:rPr>
        <w:t>）；</w:t>
      </w:r>
    </w:p>
    <w:p w14:paraId="3613AC73" w14:textId="77777777" w:rsidR="00182D0F" w:rsidRDefault="00000000">
      <w:pPr>
        <w:ind w:firstLineChars="200" w:firstLine="420"/>
        <w:rPr>
          <w:color w:val="000000"/>
          <w:szCs w:val="21"/>
        </w:rPr>
      </w:pPr>
      <w:r>
        <w:rPr>
          <w:rFonts w:hint="eastAsia"/>
          <w:color w:val="000000"/>
          <w:szCs w:val="21"/>
        </w:rPr>
        <w:t>——增加了洗涤剂中非离子表面活性剂含量的测定中树脂用量的指导（见</w:t>
      </w:r>
      <w:r>
        <w:rPr>
          <w:rFonts w:hint="eastAsia"/>
          <w:color w:val="000000"/>
          <w:szCs w:val="21"/>
        </w:rPr>
        <w:t>8.4.3b</w:t>
      </w:r>
      <w:r>
        <w:rPr>
          <w:rFonts w:hint="eastAsia"/>
          <w:color w:val="000000"/>
          <w:szCs w:val="21"/>
        </w:rPr>
        <w:t>，</w:t>
      </w:r>
      <w:r>
        <w:rPr>
          <w:rFonts w:hint="eastAsia"/>
          <w:color w:val="000000"/>
          <w:szCs w:val="21"/>
        </w:rPr>
        <w:t>2021</w:t>
      </w:r>
      <w:r>
        <w:rPr>
          <w:rFonts w:hint="eastAsia"/>
          <w:color w:val="000000"/>
          <w:szCs w:val="21"/>
        </w:rPr>
        <w:t>年版</w:t>
      </w:r>
      <w:r>
        <w:rPr>
          <w:rFonts w:hint="eastAsia"/>
          <w:color w:val="000000"/>
          <w:szCs w:val="21"/>
        </w:rPr>
        <w:t>8.4.3b</w:t>
      </w:r>
      <w:r>
        <w:rPr>
          <w:rFonts w:hint="eastAsia"/>
          <w:color w:val="000000"/>
          <w:szCs w:val="21"/>
        </w:rPr>
        <w:t>）；</w:t>
      </w:r>
    </w:p>
    <w:p w14:paraId="2BCB8A80" w14:textId="77777777" w:rsidR="00182D0F" w:rsidRDefault="00000000">
      <w:pPr>
        <w:ind w:firstLineChars="200" w:firstLine="420"/>
        <w:rPr>
          <w:color w:val="000000"/>
          <w:szCs w:val="21"/>
        </w:rPr>
      </w:pPr>
      <w:r>
        <w:rPr>
          <w:rFonts w:hint="eastAsia"/>
          <w:color w:val="000000"/>
          <w:szCs w:val="21"/>
        </w:rPr>
        <w:t>——修改了洗涤剂中活性氧含量的测定（滴定法）中计算公式（见</w:t>
      </w:r>
      <w:r>
        <w:rPr>
          <w:rFonts w:hint="eastAsia"/>
          <w:color w:val="000000"/>
          <w:szCs w:val="21"/>
        </w:rPr>
        <w:t>16.5</w:t>
      </w:r>
      <w:r>
        <w:rPr>
          <w:rFonts w:hint="eastAsia"/>
          <w:color w:val="000000"/>
          <w:szCs w:val="21"/>
        </w:rPr>
        <w:t>，</w:t>
      </w:r>
      <w:r>
        <w:rPr>
          <w:rFonts w:hint="eastAsia"/>
          <w:color w:val="000000"/>
          <w:szCs w:val="21"/>
        </w:rPr>
        <w:t>2021</w:t>
      </w:r>
      <w:r>
        <w:rPr>
          <w:rFonts w:hint="eastAsia"/>
          <w:color w:val="000000"/>
          <w:szCs w:val="21"/>
        </w:rPr>
        <w:t>年版</w:t>
      </w:r>
      <w:r>
        <w:rPr>
          <w:rFonts w:hint="eastAsia"/>
          <w:color w:val="000000"/>
          <w:szCs w:val="21"/>
        </w:rPr>
        <w:t>16.5</w:t>
      </w:r>
      <w:r>
        <w:rPr>
          <w:rFonts w:hint="eastAsia"/>
          <w:color w:val="000000"/>
          <w:szCs w:val="21"/>
        </w:rPr>
        <w:t>）</w:t>
      </w:r>
    </w:p>
    <w:p w14:paraId="3A8D185B" w14:textId="77777777" w:rsidR="00182D0F" w:rsidRDefault="00000000">
      <w:pPr>
        <w:ind w:firstLineChars="200" w:firstLine="420"/>
        <w:rPr>
          <w:color w:val="000000"/>
          <w:szCs w:val="21"/>
        </w:rPr>
      </w:pPr>
      <w:r>
        <w:rPr>
          <w:rFonts w:hint="eastAsia"/>
          <w:color w:val="000000"/>
          <w:szCs w:val="21"/>
        </w:rPr>
        <w:lastRenderedPageBreak/>
        <w:t>——增加了洗涤剂中有效氯的测定中含量较低样品的制样方式（见</w:t>
      </w:r>
      <w:r>
        <w:rPr>
          <w:rFonts w:hint="eastAsia"/>
          <w:color w:val="000000"/>
          <w:szCs w:val="21"/>
        </w:rPr>
        <w:t>19.3</w:t>
      </w:r>
      <w:r>
        <w:rPr>
          <w:rFonts w:hint="eastAsia"/>
          <w:color w:val="000000"/>
          <w:szCs w:val="21"/>
        </w:rPr>
        <w:t>，</w:t>
      </w:r>
      <w:r>
        <w:rPr>
          <w:rFonts w:hint="eastAsia"/>
          <w:color w:val="000000"/>
          <w:szCs w:val="21"/>
        </w:rPr>
        <w:t>2021</w:t>
      </w:r>
      <w:r>
        <w:rPr>
          <w:rFonts w:hint="eastAsia"/>
          <w:color w:val="000000"/>
          <w:szCs w:val="21"/>
        </w:rPr>
        <w:t>年版</w:t>
      </w:r>
      <w:r>
        <w:rPr>
          <w:rFonts w:hint="eastAsia"/>
          <w:color w:val="000000"/>
          <w:szCs w:val="21"/>
        </w:rPr>
        <w:t>19.3</w:t>
      </w:r>
      <w:r>
        <w:rPr>
          <w:rFonts w:hint="eastAsia"/>
          <w:color w:val="000000"/>
          <w:szCs w:val="21"/>
        </w:rPr>
        <w:t>）</w:t>
      </w:r>
    </w:p>
    <w:p w14:paraId="51EC3C51" w14:textId="77777777" w:rsidR="00182D0F" w:rsidRDefault="00000000">
      <w:pPr>
        <w:ind w:firstLineChars="200" w:firstLine="420"/>
        <w:rPr>
          <w:color w:val="000000"/>
          <w:szCs w:val="21"/>
        </w:rPr>
      </w:pPr>
      <w:r>
        <w:rPr>
          <w:rFonts w:hint="eastAsia"/>
          <w:color w:val="000000"/>
          <w:szCs w:val="21"/>
        </w:rPr>
        <w:t>——修改了洗涤剂中干钠皂含量的测定的部分条款（见</w:t>
      </w:r>
      <w:r>
        <w:rPr>
          <w:rFonts w:hint="eastAsia"/>
          <w:color w:val="000000"/>
          <w:szCs w:val="21"/>
        </w:rPr>
        <w:t>21</w:t>
      </w:r>
      <w:r>
        <w:rPr>
          <w:rFonts w:hint="eastAsia"/>
          <w:color w:val="000000"/>
          <w:szCs w:val="21"/>
        </w:rPr>
        <w:t>，</w:t>
      </w:r>
      <w:r>
        <w:rPr>
          <w:rFonts w:hint="eastAsia"/>
          <w:color w:val="000000"/>
          <w:szCs w:val="21"/>
        </w:rPr>
        <w:t>2021</w:t>
      </w:r>
      <w:r>
        <w:rPr>
          <w:rFonts w:hint="eastAsia"/>
          <w:color w:val="000000"/>
          <w:szCs w:val="21"/>
        </w:rPr>
        <w:t>年版</w:t>
      </w:r>
      <w:r>
        <w:rPr>
          <w:rFonts w:hint="eastAsia"/>
          <w:color w:val="000000"/>
          <w:szCs w:val="21"/>
        </w:rPr>
        <w:t>21</w:t>
      </w:r>
      <w:r>
        <w:rPr>
          <w:rFonts w:hint="eastAsia"/>
          <w:color w:val="000000"/>
          <w:szCs w:val="21"/>
        </w:rPr>
        <w:t>）</w:t>
      </w:r>
    </w:p>
    <w:p w14:paraId="6ED2C06C" w14:textId="77777777" w:rsidR="00182D0F" w:rsidRDefault="00000000">
      <w:pPr>
        <w:spacing w:beforeLines="50" w:before="156" w:afterLines="50" w:after="156"/>
        <w:rPr>
          <w:rFonts w:ascii="宋体" w:hAnsi="宋体" w:hint="eastAsia"/>
          <w:szCs w:val="21"/>
        </w:rPr>
      </w:pPr>
      <w:r>
        <w:rPr>
          <w:rFonts w:ascii="宋体" w:hAnsi="宋体" w:hint="eastAsia"/>
          <w:b/>
          <w:szCs w:val="21"/>
        </w:rPr>
        <w:t>三、主要试验（或验证）情况</w:t>
      </w:r>
    </w:p>
    <w:p w14:paraId="262CD6A3" w14:textId="77777777" w:rsidR="00182D0F" w:rsidRDefault="00000000">
      <w:pPr>
        <w:rPr>
          <w:szCs w:val="21"/>
        </w:rPr>
      </w:pPr>
      <w:r>
        <w:rPr>
          <w:rFonts w:hint="eastAsia"/>
          <w:szCs w:val="21"/>
        </w:rPr>
        <w:t>1</w:t>
      </w:r>
      <w:r>
        <w:rPr>
          <w:rFonts w:hint="eastAsia"/>
          <w:szCs w:val="21"/>
        </w:rPr>
        <w:t>、增加了洗涤剂中总五氧化二磷的测定磷钼蓝比色法带色样品的的试样处理方式</w:t>
      </w:r>
    </w:p>
    <w:p w14:paraId="2132F82B" w14:textId="77777777" w:rsidR="00182D0F" w:rsidRDefault="00000000">
      <w:pPr>
        <w:ind w:firstLineChars="200" w:firstLine="420"/>
        <w:rPr>
          <w:szCs w:val="21"/>
        </w:rPr>
      </w:pPr>
      <w:r>
        <w:rPr>
          <w:rFonts w:hint="eastAsia"/>
          <w:szCs w:val="21"/>
        </w:rPr>
        <w:t>采用磷钼蓝比色法测定总五氧化二磷时，个别带色样品</w:t>
      </w:r>
      <w:r>
        <w:rPr>
          <w:rFonts w:hint="eastAsia"/>
          <w:spacing w:val="8"/>
        </w:rPr>
        <w:t>如洁厕液、洁厕块等，颜色会干扰测定结果，参照重金属测试时，对有机物的前处理方式，样品进行灰化处理，排除有机带色物质干扰后，再进行样品测试。</w:t>
      </w:r>
    </w:p>
    <w:p w14:paraId="3B675201" w14:textId="77777777" w:rsidR="00182D0F" w:rsidRDefault="00000000">
      <w:pPr>
        <w:rPr>
          <w:szCs w:val="21"/>
        </w:rPr>
      </w:pPr>
      <w:r>
        <w:rPr>
          <w:rFonts w:hint="eastAsia"/>
          <w:szCs w:val="21"/>
        </w:rPr>
        <w:t>2</w:t>
      </w:r>
      <w:r>
        <w:rPr>
          <w:rFonts w:hint="eastAsia"/>
          <w:szCs w:val="21"/>
        </w:rPr>
        <w:t>、增加了洗涤剂中总活性物含量测定乙醇溶解物种</w:t>
      </w:r>
      <w:r>
        <w:rPr>
          <w:rFonts w:cs="宋体" w:hint="eastAsia"/>
          <w:kern w:val="0"/>
          <w:szCs w:val="21"/>
        </w:rPr>
        <w:t>氯化钠测定方法</w:t>
      </w:r>
    </w:p>
    <w:p w14:paraId="05C1B5AD" w14:textId="77777777" w:rsidR="00182D0F" w:rsidRDefault="00000000">
      <w:pPr>
        <w:ind w:firstLineChars="200" w:firstLine="420"/>
        <w:rPr>
          <w:color w:val="FF0000"/>
          <w:szCs w:val="21"/>
        </w:rPr>
      </w:pPr>
      <w:r>
        <w:rPr>
          <w:rFonts w:hint="eastAsia"/>
          <w:szCs w:val="21"/>
        </w:rPr>
        <w:t>对于某些洗涤剂，其乙醇溶解物带色，使用铬酸钾指示剂时，会干扰终点，对于此类样品使用电位滴定法测试滴定终点。</w:t>
      </w:r>
    </w:p>
    <w:p w14:paraId="736361FF" w14:textId="77777777" w:rsidR="00182D0F" w:rsidRDefault="00000000">
      <w:pPr>
        <w:rPr>
          <w:szCs w:val="21"/>
        </w:rPr>
      </w:pPr>
      <w:r>
        <w:rPr>
          <w:rFonts w:hint="eastAsia"/>
          <w:szCs w:val="21"/>
        </w:rPr>
        <w:t>3</w:t>
      </w:r>
      <w:r>
        <w:rPr>
          <w:rFonts w:hint="eastAsia"/>
          <w:szCs w:val="21"/>
        </w:rPr>
        <w:t>、增加了洗涤剂中非离子表面活性剂含量的测定中称样量指导及树脂用量的应用</w:t>
      </w:r>
    </w:p>
    <w:p w14:paraId="46B35DA9" w14:textId="77777777" w:rsidR="00182D0F" w:rsidRDefault="00000000">
      <w:pPr>
        <w:ind w:firstLineChars="200" w:firstLine="420"/>
        <w:rPr>
          <w:szCs w:val="21"/>
        </w:rPr>
      </w:pPr>
      <w:r>
        <w:rPr>
          <w:rFonts w:hint="eastAsia"/>
        </w:rPr>
        <w:t>目前有些洗涤产品添加了大量的氯化钠，使样品的乙醇溶解物中</w:t>
      </w:r>
      <w:r>
        <w:rPr>
          <w:rFonts w:hint="eastAsia"/>
          <w:sz w:val="22"/>
        </w:rPr>
        <w:t>会</w:t>
      </w:r>
      <w:r>
        <w:rPr>
          <w:rFonts w:hint="eastAsia"/>
        </w:rPr>
        <w:t>含大量的</w:t>
      </w:r>
      <w:r>
        <w:rPr>
          <w:rFonts w:hint="eastAsia"/>
        </w:rPr>
        <w:t xml:space="preserve"> </w:t>
      </w:r>
      <w:r>
        <w:t>C</w:t>
      </w:r>
      <w:r>
        <w:rPr>
          <w:rFonts w:hint="eastAsia"/>
        </w:rPr>
        <w:t>l</w:t>
      </w:r>
      <w:r>
        <w:rPr>
          <w:rFonts w:hint="eastAsia"/>
          <w:vertAlign w:val="superscript"/>
        </w:rPr>
        <w:t>-</w:t>
      </w:r>
      <w:r>
        <w:rPr>
          <w:rFonts w:hint="eastAsia"/>
        </w:rPr>
        <w:t>，其它洗涤原料在乙醇中也有一定溶解度。在实验中发现，按标准中的称样量和树脂的用量，溶液中的阴阳离子不能保证完全被交换，因此对测试称样量或树脂的用量进行指导，</w:t>
      </w:r>
      <w:r>
        <w:t>确保阴阳离子可被完全交换</w:t>
      </w:r>
      <w:r>
        <w:rPr>
          <w:rFonts w:hint="eastAsia"/>
        </w:rPr>
        <w:t>。</w:t>
      </w:r>
    </w:p>
    <w:p w14:paraId="6A1CF721" w14:textId="77777777" w:rsidR="00182D0F" w:rsidRDefault="00000000">
      <w:pPr>
        <w:numPr>
          <w:ilvl w:val="0"/>
          <w:numId w:val="2"/>
        </w:numPr>
        <w:rPr>
          <w:color w:val="000000"/>
          <w:szCs w:val="21"/>
        </w:rPr>
      </w:pPr>
      <w:r>
        <w:rPr>
          <w:rFonts w:hint="eastAsia"/>
          <w:color w:val="000000"/>
          <w:szCs w:val="21"/>
        </w:rPr>
        <w:t>修改了洗涤剂中活性氧含量的测定（滴定法）中计算公式</w:t>
      </w:r>
    </w:p>
    <w:p w14:paraId="7441ABEA" w14:textId="77777777" w:rsidR="00182D0F" w:rsidRDefault="00000000">
      <w:pPr>
        <w:rPr>
          <w:color w:val="000000"/>
          <w:szCs w:val="21"/>
        </w:rPr>
      </w:pPr>
      <w:r>
        <w:rPr>
          <w:rFonts w:hint="eastAsia"/>
          <w:color w:val="000000"/>
          <w:szCs w:val="21"/>
        </w:rPr>
        <w:t xml:space="preserve">   </w:t>
      </w:r>
      <w:r>
        <w:rPr>
          <w:rFonts w:hint="eastAsia"/>
          <w:color w:val="000000"/>
          <w:szCs w:val="21"/>
        </w:rPr>
        <w:t>原计算公式有误，进行了修改。</w:t>
      </w:r>
    </w:p>
    <w:p w14:paraId="166D24AD" w14:textId="77777777" w:rsidR="00182D0F" w:rsidRDefault="00000000">
      <w:pPr>
        <w:numPr>
          <w:ilvl w:val="0"/>
          <w:numId w:val="2"/>
        </w:numPr>
        <w:rPr>
          <w:spacing w:val="8"/>
        </w:rPr>
      </w:pPr>
      <w:r>
        <w:rPr>
          <w:rFonts w:hint="eastAsia"/>
          <w:color w:val="000000"/>
          <w:szCs w:val="21"/>
        </w:rPr>
        <w:t>增加了</w:t>
      </w:r>
      <w:r>
        <w:rPr>
          <w:rFonts w:hint="eastAsia"/>
          <w:spacing w:val="8"/>
        </w:rPr>
        <w:t>洗涤剂中有效氯含量的测定（滴定法）中称样量指导</w:t>
      </w:r>
    </w:p>
    <w:p w14:paraId="7424AD47" w14:textId="77777777" w:rsidR="00182D0F" w:rsidRDefault="00000000">
      <w:pPr>
        <w:ind w:firstLineChars="200" w:firstLine="452"/>
        <w:rPr>
          <w:spacing w:val="8"/>
        </w:rPr>
      </w:pPr>
      <w:r>
        <w:rPr>
          <w:rFonts w:hint="eastAsia"/>
          <w:spacing w:val="8"/>
        </w:rPr>
        <w:t>对于有效氯含量低的样品，定容后再移取测试，结果不能准确反映样品的有效氯含量，因此有效氯含量低的样品不需要稀释定容，直接称取样品测定。同时修改标准滴定溶液</w:t>
      </w:r>
      <w:bookmarkStart w:id="0" w:name="OLE_LINK6"/>
      <w:bookmarkStart w:id="1" w:name="OLE_LINK7"/>
      <w:r>
        <w:rPr>
          <w:rFonts w:hint="eastAsia"/>
          <w:spacing w:val="8"/>
        </w:rPr>
        <w:t>Na</w:t>
      </w:r>
      <w:r>
        <w:rPr>
          <w:rFonts w:hint="eastAsia"/>
          <w:spacing w:val="8"/>
          <w:vertAlign w:val="subscript"/>
        </w:rPr>
        <w:t>2</w:t>
      </w:r>
      <w:r>
        <w:rPr>
          <w:rFonts w:hint="eastAsia"/>
          <w:spacing w:val="8"/>
        </w:rPr>
        <w:t>S</w:t>
      </w:r>
      <w:r>
        <w:rPr>
          <w:rFonts w:hint="eastAsia"/>
          <w:spacing w:val="8"/>
          <w:vertAlign w:val="subscript"/>
        </w:rPr>
        <w:t>2</w:t>
      </w:r>
      <w:r>
        <w:rPr>
          <w:rFonts w:hint="eastAsia"/>
          <w:spacing w:val="8"/>
        </w:rPr>
        <w:t>O</w:t>
      </w:r>
      <w:r>
        <w:rPr>
          <w:rFonts w:hint="eastAsia"/>
          <w:spacing w:val="8"/>
          <w:vertAlign w:val="subscript"/>
        </w:rPr>
        <w:t>3</w:t>
      </w:r>
      <w:bookmarkEnd w:id="0"/>
      <w:bookmarkEnd w:id="1"/>
      <w:r>
        <w:rPr>
          <w:rFonts w:hint="eastAsia"/>
          <w:spacing w:val="8"/>
        </w:rPr>
        <w:t>浓度为</w:t>
      </w:r>
      <w:r>
        <w:rPr>
          <w:rFonts w:hint="eastAsia"/>
          <w:spacing w:val="8"/>
        </w:rPr>
        <w:t>0.1mol/L</w:t>
      </w:r>
      <w:r>
        <w:rPr>
          <w:rFonts w:hint="eastAsia"/>
          <w:spacing w:val="8"/>
        </w:rPr>
        <w:t>”，因为实际测试中均使用此浓度标准溶液，同时引用标准</w:t>
      </w:r>
      <w:r>
        <w:rPr>
          <w:rFonts w:hint="eastAsia"/>
          <w:spacing w:val="8"/>
        </w:rPr>
        <w:t xml:space="preserve">QB/T2739 </w:t>
      </w:r>
      <w:r>
        <w:rPr>
          <w:rFonts w:hint="eastAsia"/>
          <w:spacing w:val="8"/>
        </w:rPr>
        <w:t>中也只有此浓度溶液的配制标定方法。</w:t>
      </w:r>
    </w:p>
    <w:p w14:paraId="3E1871FB" w14:textId="77777777" w:rsidR="00182D0F" w:rsidRDefault="00000000">
      <w:pPr>
        <w:rPr>
          <w:szCs w:val="21"/>
        </w:rPr>
      </w:pPr>
      <w:r>
        <w:rPr>
          <w:rFonts w:hint="eastAsia"/>
          <w:szCs w:val="21"/>
        </w:rPr>
        <w:t>6</w:t>
      </w:r>
      <w:r>
        <w:rPr>
          <w:rFonts w:hint="eastAsia"/>
          <w:szCs w:val="21"/>
        </w:rPr>
        <w:t>、修改调整了干钠皂测试方法中测试顺序</w:t>
      </w:r>
    </w:p>
    <w:p w14:paraId="4AD98752" w14:textId="77777777" w:rsidR="00182D0F" w:rsidRDefault="00000000">
      <w:pPr>
        <w:ind w:firstLineChars="200" w:firstLine="420"/>
        <w:rPr>
          <w:szCs w:val="21"/>
        </w:rPr>
      </w:pPr>
      <w:r>
        <w:rPr>
          <w:rFonts w:hAnsi="宋体" w:hint="eastAsia"/>
          <w:bCs/>
        </w:rPr>
        <w:t>将测试方法中“脂肪酸盐转化为脂肪酸再转化为脂肪酸盐恒重”变为“脂肪酸盐转化为脂肪酸恒重再转化为脂肪酸盐”。抽取市场上</w:t>
      </w:r>
      <w:r>
        <w:rPr>
          <w:rFonts w:hAnsi="宋体" w:hint="eastAsia"/>
          <w:bCs/>
        </w:rPr>
        <w:t>9</w:t>
      </w:r>
      <w:r>
        <w:rPr>
          <w:rFonts w:hAnsi="宋体" w:hint="eastAsia"/>
          <w:bCs/>
        </w:rPr>
        <w:t>个洗衣皂粉，按两种程序分别测试干钠皂含量，测试结果如表</w:t>
      </w:r>
      <w:r>
        <w:rPr>
          <w:rFonts w:hAnsi="宋体" w:hint="eastAsia"/>
          <w:bCs/>
        </w:rPr>
        <w:t>1</w:t>
      </w:r>
      <w:r>
        <w:rPr>
          <w:rFonts w:hAnsi="宋体" w:hint="eastAsia"/>
          <w:bCs/>
        </w:rPr>
        <w:t>：</w:t>
      </w:r>
    </w:p>
    <w:p w14:paraId="1629262A" w14:textId="77777777" w:rsidR="00182D0F" w:rsidRDefault="00000000">
      <w:pPr>
        <w:spacing w:line="276" w:lineRule="auto"/>
        <w:jc w:val="center"/>
      </w:pPr>
      <w:r>
        <w:t>表</w:t>
      </w:r>
      <w:r>
        <w:rPr>
          <w:rFonts w:hint="eastAsia"/>
        </w:rPr>
        <w:t>1  9</w:t>
      </w:r>
      <w:r>
        <w:rPr>
          <w:rFonts w:hint="eastAsia"/>
        </w:rPr>
        <w:t>个样品两种方法</w:t>
      </w:r>
      <w:r>
        <w:t>干钠皂含量</w:t>
      </w:r>
      <w:r>
        <w:rPr>
          <w:rFonts w:hint="eastAsia"/>
        </w:rPr>
        <w:t>测试结果对比</w:t>
      </w:r>
    </w:p>
    <w:tbl>
      <w:tblPr>
        <w:tblW w:w="8359" w:type="dxa"/>
        <w:jc w:val="center"/>
        <w:tblLayout w:type="fixed"/>
        <w:tblCellMar>
          <w:top w:w="15" w:type="dxa"/>
          <w:left w:w="15" w:type="dxa"/>
          <w:bottom w:w="15" w:type="dxa"/>
          <w:right w:w="15" w:type="dxa"/>
        </w:tblCellMar>
        <w:tblLook w:val="04A0" w:firstRow="1" w:lastRow="0" w:firstColumn="1" w:lastColumn="0" w:noHBand="0" w:noVBand="1"/>
      </w:tblPr>
      <w:tblGrid>
        <w:gridCol w:w="1755"/>
        <w:gridCol w:w="2652"/>
        <w:gridCol w:w="2255"/>
        <w:gridCol w:w="1697"/>
      </w:tblGrid>
      <w:tr w:rsidR="00182D0F" w14:paraId="3D04D3C7" w14:textId="77777777">
        <w:trPr>
          <w:trHeight w:val="590"/>
          <w:tblHeader/>
          <w:jc w:val="center"/>
        </w:trPr>
        <w:tc>
          <w:tcPr>
            <w:tcW w:w="1755" w:type="dxa"/>
            <w:tcBorders>
              <w:top w:val="single" w:sz="4" w:space="0" w:color="000000"/>
              <w:left w:val="single" w:sz="4" w:space="0" w:color="000000"/>
              <w:bottom w:val="single" w:sz="4" w:space="0" w:color="000000"/>
              <w:right w:val="single" w:sz="4" w:space="0" w:color="000000"/>
            </w:tcBorders>
            <w:vAlign w:val="center"/>
          </w:tcPr>
          <w:p w14:paraId="43A9D6C6" w14:textId="77777777" w:rsidR="00182D0F" w:rsidRDefault="00000000">
            <w:pPr>
              <w:widowControl/>
              <w:jc w:val="center"/>
              <w:textAlignment w:val="center"/>
              <w:rPr>
                <w:color w:val="000000"/>
                <w:sz w:val="18"/>
                <w:szCs w:val="18"/>
              </w:rPr>
            </w:pPr>
            <w:r>
              <w:rPr>
                <w:color w:val="000000"/>
                <w:kern w:val="0"/>
                <w:sz w:val="18"/>
                <w:szCs w:val="18"/>
                <w:lang w:bidi="ar"/>
              </w:rPr>
              <w:t>样品编号</w:t>
            </w:r>
          </w:p>
        </w:tc>
        <w:tc>
          <w:tcPr>
            <w:tcW w:w="2652" w:type="dxa"/>
            <w:tcBorders>
              <w:top w:val="single" w:sz="4" w:space="0" w:color="000000"/>
              <w:left w:val="single" w:sz="4" w:space="0" w:color="000000"/>
              <w:bottom w:val="single" w:sz="4" w:space="0" w:color="000000"/>
              <w:right w:val="single" w:sz="4" w:space="0" w:color="000000"/>
            </w:tcBorders>
            <w:vAlign w:val="center"/>
          </w:tcPr>
          <w:p w14:paraId="65A148A3" w14:textId="77777777" w:rsidR="00182D0F" w:rsidRDefault="00000000">
            <w:pPr>
              <w:widowControl/>
              <w:jc w:val="center"/>
              <w:textAlignment w:val="center"/>
              <w:rPr>
                <w:color w:val="000000"/>
                <w:kern w:val="0"/>
                <w:sz w:val="18"/>
                <w:szCs w:val="18"/>
                <w:lang w:bidi="ar"/>
              </w:rPr>
            </w:pPr>
            <w:r>
              <w:rPr>
                <w:rFonts w:hint="eastAsia"/>
                <w:color w:val="000000"/>
                <w:sz w:val="18"/>
                <w:szCs w:val="18"/>
              </w:rPr>
              <w:t>旧方法测定结果</w:t>
            </w:r>
            <w:r>
              <w:rPr>
                <w:rFonts w:hint="eastAsia"/>
                <w:color w:val="000000"/>
                <w:sz w:val="18"/>
                <w:szCs w:val="18"/>
              </w:rPr>
              <w:t>/%</w:t>
            </w:r>
          </w:p>
        </w:tc>
        <w:tc>
          <w:tcPr>
            <w:tcW w:w="2255" w:type="dxa"/>
            <w:tcBorders>
              <w:top w:val="single" w:sz="4" w:space="0" w:color="000000"/>
              <w:left w:val="single" w:sz="4" w:space="0" w:color="000000"/>
              <w:bottom w:val="single" w:sz="4" w:space="0" w:color="000000"/>
              <w:right w:val="single" w:sz="4" w:space="0" w:color="000000"/>
            </w:tcBorders>
            <w:vAlign w:val="center"/>
          </w:tcPr>
          <w:p w14:paraId="776C85D4" w14:textId="77777777" w:rsidR="00182D0F" w:rsidRDefault="00000000">
            <w:pPr>
              <w:widowControl/>
              <w:jc w:val="center"/>
              <w:textAlignment w:val="center"/>
              <w:rPr>
                <w:color w:val="000000"/>
                <w:sz w:val="18"/>
                <w:szCs w:val="18"/>
              </w:rPr>
            </w:pPr>
            <w:r>
              <w:rPr>
                <w:rFonts w:hint="eastAsia"/>
                <w:color w:val="000000"/>
                <w:sz w:val="18"/>
                <w:szCs w:val="18"/>
              </w:rPr>
              <w:t>新方法测定结果</w:t>
            </w:r>
            <w:r>
              <w:rPr>
                <w:rFonts w:hint="eastAsia"/>
                <w:color w:val="000000"/>
                <w:sz w:val="18"/>
                <w:szCs w:val="18"/>
              </w:rPr>
              <w:t>/%</w:t>
            </w:r>
          </w:p>
        </w:tc>
        <w:tc>
          <w:tcPr>
            <w:tcW w:w="1697" w:type="dxa"/>
            <w:tcBorders>
              <w:top w:val="single" w:sz="4" w:space="0" w:color="000000"/>
              <w:left w:val="single" w:sz="4" w:space="0" w:color="000000"/>
              <w:bottom w:val="single" w:sz="4" w:space="0" w:color="000000"/>
              <w:right w:val="single" w:sz="4" w:space="0" w:color="000000"/>
            </w:tcBorders>
            <w:vAlign w:val="center"/>
          </w:tcPr>
          <w:p w14:paraId="19571672" w14:textId="77777777" w:rsidR="00182D0F" w:rsidRDefault="00000000">
            <w:pPr>
              <w:widowControl/>
              <w:jc w:val="center"/>
              <w:textAlignment w:val="center"/>
              <w:rPr>
                <w:color w:val="000000"/>
                <w:sz w:val="18"/>
                <w:szCs w:val="18"/>
              </w:rPr>
            </w:pPr>
            <w:r>
              <w:rPr>
                <w:rFonts w:hint="eastAsia"/>
                <w:color w:val="000000"/>
                <w:sz w:val="18"/>
                <w:szCs w:val="18"/>
              </w:rPr>
              <w:t>差值（</w:t>
            </w:r>
            <w:r>
              <w:rPr>
                <w:rFonts w:hint="eastAsia"/>
                <w:color w:val="000000"/>
                <w:sz w:val="18"/>
                <w:szCs w:val="18"/>
              </w:rPr>
              <w:t>d</w:t>
            </w:r>
            <w:r>
              <w:rPr>
                <w:rFonts w:hint="eastAsia"/>
                <w:color w:val="000000"/>
                <w:sz w:val="18"/>
                <w:szCs w:val="18"/>
              </w:rPr>
              <w:t>）</w:t>
            </w:r>
          </w:p>
        </w:tc>
      </w:tr>
      <w:tr w:rsidR="00182D0F" w14:paraId="02CAE3E3" w14:textId="77777777">
        <w:trPr>
          <w:trHeight w:val="434"/>
          <w:jc w:val="center"/>
        </w:trPr>
        <w:tc>
          <w:tcPr>
            <w:tcW w:w="1755" w:type="dxa"/>
            <w:tcBorders>
              <w:top w:val="single" w:sz="4" w:space="0" w:color="000000"/>
              <w:left w:val="single" w:sz="4" w:space="0" w:color="000000"/>
              <w:bottom w:val="single" w:sz="4" w:space="0" w:color="000000"/>
              <w:right w:val="single" w:sz="4" w:space="0" w:color="000000"/>
            </w:tcBorders>
            <w:vAlign w:val="center"/>
          </w:tcPr>
          <w:p w14:paraId="7D3D5441" w14:textId="77777777" w:rsidR="00182D0F" w:rsidRDefault="00000000">
            <w:pPr>
              <w:widowControl/>
              <w:jc w:val="center"/>
              <w:textAlignment w:val="center"/>
              <w:rPr>
                <w:color w:val="000000"/>
                <w:sz w:val="18"/>
                <w:szCs w:val="18"/>
              </w:rPr>
            </w:pPr>
            <w:r>
              <w:rPr>
                <w:color w:val="000000"/>
                <w:kern w:val="0"/>
                <w:sz w:val="18"/>
                <w:szCs w:val="18"/>
                <w:lang w:bidi="ar"/>
              </w:rPr>
              <w:t>1</w:t>
            </w:r>
          </w:p>
        </w:tc>
        <w:tc>
          <w:tcPr>
            <w:tcW w:w="2652" w:type="dxa"/>
            <w:tcBorders>
              <w:top w:val="single" w:sz="4" w:space="0" w:color="000000"/>
              <w:left w:val="single" w:sz="4" w:space="0" w:color="000000"/>
              <w:bottom w:val="single" w:sz="4" w:space="0" w:color="000000"/>
              <w:right w:val="single" w:sz="4" w:space="0" w:color="000000"/>
            </w:tcBorders>
            <w:vAlign w:val="bottom"/>
          </w:tcPr>
          <w:p w14:paraId="34D62F16" w14:textId="77777777" w:rsidR="00182D0F" w:rsidRDefault="00000000">
            <w:pPr>
              <w:widowControl/>
              <w:jc w:val="center"/>
              <w:textAlignment w:val="bottom"/>
              <w:rPr>
                <w:color w:val="000000"/>
                <w:sz w:val="18"/>
                <w:szCs w:val="18"/>
              </w:rPr>
            </w:pPr>
            <w:r>
              <w:rPr>
                <w:rFonts w:ascii="等线" w:eastAsia="等线" w:hAnsi="等线" w:cs="等线" w:hint="eastAsia"/>
                <w:color w:val="000000"/>
                <w:kern w:val="0"/>
                <w:sz w:val="18"/>
                <w:szCs w:val="18"/>
                <w:lang w:bidi="ar"/>
              </w:rPr>
              <w:t>0.12</w:t>
            </w:r>
          </w:p>
        </w:tc>
        <w:tc>
          <w:tcPr>
            <w:tcW w:w="2255" w:type="dxa"/>
            <w:tcBorders>
              <w:top w:val="single" w:sz="4" w:space="0" w:color="000000"/>
              <w:left w:val="single" w:sz="4" w:space="0" w:color="000000"/>
              <w:bottom w:val="single" w:sz="4" w:space="0" w:color="000000"/>
              <w:right w:val="single" w:sz="4" w:space="0" w:color="000000"/>
            </w:tcBorders>
            <w:vAlign w:val="bottom"/>
          </w:tcPr>
          <w:p w14:paraId="17D92102" w14:textId="77777777" w:rsidR="00182D0F" w:rsidRDefault="00000000">
            <w:pPr>
              <w:widowControl/>
              <w:jc w:val="center"/>
              <w:textAlignment w:val="bottom"/>
              <w:rPr>
                <w:color w:val="000000"/>
                <w:sz w:val="18"/>
                <w:szCs w:val="18"/>
              </w:rPr>
            </w:pPr>
            <w:r>
              <w:rPr>
                <w:rFonts w:hint="eastAsia"/>
                <w:color w:val="000000"/>
                <w:sz w:val="18"/>
                <w:szCs w:val="18"/>
              </w:rPr>
              <w:t>0.13</w:t>
            </w:r>
          </w:p>
        </w:tc>
        <w:tc>
          <w:tcPr>
            <w:tcW w:w="1697" w:type="dxa"/>
            <w:tcBorders>
              <w:top w:val="single" w:sz="4" w:space="0" w:color="000000"/>
              <w:left w:val="single" w:sz="4" w:space="0" w:color="000000"/>
              <w:bottom w:val="single" w:sz="4" w:space="0" w:color="000000"/>
              <w:right w:val="single" w:sz="4" w:space="0" w:color="000000"/>
            </w:tcBorders>
            <w:vAlign w:val="bottom"/>
          </w:tcPr>
          <w:p w14:paraId="7FD3FE2C" w14:textId="77777777" w:rsidR="00182D0F" w:rsidRDefault="00000000">
            <w:pPr>
              <w:widowControl/>
              <w:jc w:val="center"/>
              <w:textAlignment w:val="bottom"/>
              <w:rPr>
                <w:color w:val="000000"/>
                <w:sz w:val="18"/>
                <w:szCs w:val="18"/>
              </w:rPr>
            </w:pPr>
            <w:r>
              <w:rPr>
                <w:rFonts w:hint="eastAsia"/>
                <w:color w:val="000000"/>
                <w:sz w:val="18"/>
                <w:szCs w:val="18"/>
              </w:rPr>
              <w:t>-0.01</w:t>
            </w:r>
          </w:p>
        </w:tc>
      </w:tr>
      <w:tr w:rsidR="00182D0F" w14:paraId="66649822" w14:textId="77777777">
        <w:trPr>
          <w:trHeight w:val="434"/>
          <w:jc w:val="center"/>
        </w:trPr>
        <w:tc>
          <w:tcPr>
            <w:tcW w:w="1755" w:type="dxa"/>
            <w:tcBorders>
              <w:top w:val="single" w:sz="4" w:space="0" w:color="000000"/>
              <w:left w:val="single" w:sz="4" w:space="0" w:color="000000"/>
              <w:bottom w:val="single" w:sz="4" w:space="0" w:color="000000"/>
              <w:right w:val="single" w:sz="4" w:space="0" w:color="000000"/>
            </w:tcBorders>
            <w:vAlign w:val="center"/>
          </w:tcPr>
          <w:p w14:paraId="3C951F5B" w14:textId="77777777" w:rsidR="00182D0F" w:rsidRDefault="00000000">
            <w:pPr>
              <w:widowControl/>
              <w:jc w:val="center"/>
              <w:textAlignment w:val="center"/>
              <w:rPr>
                <w:color w:val="000000"/>
                <w:sz w:val="18"/>
                <w:szCs w:val="18"/>
              </w:rPr>
            </w:pPr>
            <w:r>
              <w:rPr>
                <w:rFonts w:hint="eastAsia"/>
                <w:color w:val="000000"/>
                <w:kern w:val="0"/>
                <w:sz w:val="18"/>
                <w:szCs w:val="18"/>
                <w:lang w:bidi="ar"/>
              </w:rPr>
              <w:t>2</w:t>
            </w:r>
          </w:p>
        </w:tc>
        <w:tc>
          <w:tcPr>
            <w:tcW w:w="2652" w:type="dxa"/>
            <w:tcBorders>
              <w:top w:val="single" w:sz="4" w:space="0" w:color="000000"/>
              <w:left w:val="single" w:sz="4" w:space="0" w:color="000000"/>
              <w:bottom w:val="single" w:sz="4" w:space="0" w:color="000000"/>
              <w:right w:val="single" w:sz="4" w:space="0" w:color="000000"/>
            </w:tcBorders>
            <w:vAlign w:val="bottom"/>
          </w:tcPr>
          <w:p w14:paraId="3FE0C020" w14:textId="77777777" w:rsidR="00182D0F" w:rsidRDefault="00000000">
            <w:pPr>
              <w:widowControl/>
              <w:jc w:val="center"/>
              <w:textAlignment w:val="bottom"/>
              <w:rPr>
                <w:color w:val="000000"/>
                <w:sz w:val="18"/>
                <w:szCs w:val="18"/>
              </w:rPr>
            </w:pPr>
            <w:r>
              <w:rPr>
                <w:rFonts w:ascii="等线" w:eastAsia="等线" w:hAnsi="等线" w:cs="等线" w:hint="eastAsia"/>
                <w:color w:val="000000"/>
                <w:kern w:val="0"/>
                <w:sz w:val="18"/>
                <w:szCs w:val="18"/>
                <w:lang w:bidi="ar"/>
              </w:rPr>
              <w:t>0.48</w:t>
            </w:r>
          </w:p>
        </w:tc>
        <w:tc>
          <w:tcPr>
            <w:tcW w:w="2255" w:type="dxa"/>
            <w:tcBorders>
              <w:top w:val="single" w:sz="4" w:space="0" w:color="000000"/>
              <w:left w:val="single" w:sz="4" w:space="0" w:color="000000"/>
              <w:bottom w:val="single" w:sz="4" w:space="0" w:color="000000"/>
              <w:right w:val="single" w:sz="4" w:space="0" w:color="000000"/>
            </w:tcBorders>
            <w:vAlign w:val="bottom"/>
          </w:tcPr>
          <w:p w14:paraId="2C3762D8" w14:textId="77777777" w:rsidR="00182D0F" w:rsidRDefault="00000000">
            <w:pPr>
              <w:widowControl/>
              <w:jc w:val="center"/>
              <w:textAlignment w:val="bottom"/>
              <w:rPr>
                <w:color w:val="000000"/>
                <w:sz w:val="18"/>
                <w:szCs w:val="18"/>
              </w:rPr>
            </w:pPr>
            <w:r>
              <w:rPr>
                <w:rFonts w:hint="eastAsia"/>
                <w:color w:val="000000"/>
                <w:sz w:val="18"/>
                <w:szCs w:val="18"/>
              </w:rPr>
              <w:t>0.49</w:t>
            </w:r>
          </w:p>
        </w:tc>
        <w:tc>
          <w:tcPr>
            <w:tcW w:w="1697" w:type="dxa"/>
            <w:tcBorders>
              <w:top w:val="single" w:sz="4" w:space="0" w:color="000000"/>
              <w:left w:val="single" w:sz="4" w:space="0" w:color="000000"/>
              <w:bottom w:val="single" w:sz="4" w:space="0" w:color="000000"/>
              <w:right w:val="single" w:sz="4" w:space="0" w:color="000000"/>
            </w:tcBorders>
            <w:vAlign w:val="bottom"/>
          </w:tcPr>
          <w:p w14:paraId="63D7BC6D" w14:textId="77777777" w:rsidR="00182D0F" w:rsidRDefault="00000000">
            <w:pPr>
              <w:widowControl/>
              <w:jc w:val="center"/>
              <w:textAlignment w:val="bottom"/>
              <w:rPr>
                <w:color w:val="000000"/>
                <w:sz w:val="18"/>
                <w:szCs w:val="18"/>
              </w:rPr>
            </w:pPr>
            <w:r>
              <w:rPr>
                <w:rFonts w:hint="eastAsia"/>
                <w:color w:val="000000"/>
                <w:sz w:val="18"/>
                <w:szCs w:val="18"/>
              </w:rPr>
              <w:t>-0.01</w:t>
            </w:r>
          </w:p>
        </w:tc>
      </w:tr>
      <w:tr w:rsidR="00182D0F" w14:paraId="1A2694DD" w14:textId="77777777">
        <w:trPr>
          <w:trHeight w:val="434"/>
          <w:jc w:val="center"/>
        </w:trPr>
        <w:tc>
          <w:tcPr>
            <w:tcW w:w="1755" w:type="dxa"/>
            <w:tcBorders>
              <w:top w:val="single" w:sz="4" w:space="0" w:color="000000"/>
              <w:left w:val="single" w:sz="4" w:space="0" w:color="000000"/>
              <w:bottom w:val="single" w:sz="4" w:space="0" w:color="000000"/>
              <w:right w:val="single" w:sz="4" w:space="0" w:color="000000"/>
            </w:tcBorders>
            <w:vAlign w:val="center"/>
          </w:tcPr>
          <w:p w14:paraId="3C2D37D4" w14:textId="77777777" w:rsidR="00182D0F" w:rsidRDefault="00000000">
            <w:pPr>
              <w:widowControl/>
              <w:jc w:val="center"/>
              <w:textAlignment w:val="center"/>
              <w:rPr>
                <w:color w:val="000000"/>
                <w:sz w:val="18"/>
                <w:szCs w:val="18"/>
              </w:rPr>
            </w:pPr>
            <w:r>
              <w:rPr>
                <w:rFonts w:hint="eastAsia"/>
                <w:color w:val="000000"/>
                <w:kern w:val="0"/>
                <w:sz w:val="18"/>
                <w:szCs w:val="18"/>
                <w:lang w:bidi="ar"/>
              </w:rPr>
              <w:t>3</w:t>
            </w:r>
          </w:p>
        </w:tc>
        <w:tc>
          <w:tcPr>
            <w:tcW w:w="2652" w:type="dxa"/>
            <w:tcBorders>
              <w:top w:val="single" w:sz="4" w:space="0" w:color="000000"/>
              <w:left w:val="single" w:sz="4" w:space="0" w:color="000000"/>
              <w:bottom w:val="single" w:sz="4" w:space="0" w:color="000000"/>
              <w:right w:val="single" w:sz="4" w:space="0" w:color="000000"/>
            </w:tcBorders>
            <w:vAlign w:val="bottom"/>
          </w:tcPr>
          <w:p w14:paraId="2DC393F0" w14:textId="77777777" w:rsidR="00182D0F" w:rsidRDefault="00000000">
            <w:pPr>
              <w:widowControl/>
              <w:jc w:val="center"/>
              <w:textAlignment w:val="bottom"/>
              <w:rPr>
                <w:color w:val="000000"/>
                <w:sz w:val="18"/>
                <w:szCs w:val="18"/>
              </w:rPr>
            </w:pPr>
            <w:r>
              <w:rPr>
                <w:rFonts w:ascii="等线" w:eastAsia="等线" w:hAnsi="等线" w:cs="等线" w:hint="eastAsia"/>
                <w:color w:val="000000"/>
                <w:kern w:val="0"/>
                <w:sz w:val="18"/>
                <w:szCs w:val="18"/>
                <w:lang w:bidi="ar"/>
              </w:rPr>
              <w:t>2.61</w:t>
            </w:r>
          </w:p>
        </w:tc>
        <w:tc>
          <w:tcPr>
            <w:tcW w:w="2255" w:type="dxa"/>
            <w:tcBorders>
              <w:top w:val="single" w:sz="4" w:space="0" w:color="000000"/>
              <w:left w:val="single" w:sz="4" w:space="0" w:color="000000"/>
              <w:bottom w:val="single" w:sz="4" w:space="0" w:color="000000"/>
              <w:right w:val="single" w:sz="4" w:space="0" w:color="000000"/>
            </w:tcBorders>
            <w:vAlign w:val="bottom"/>
          </w:tcPr>
          <w:p w14:paraId="430F2273" w14:textId="77777777" w:rsidR="00182D0F" w:rsidRDefault="00000000">
            <w:pPr>
              <w:widowControl/>
              <w:jc w:val="center"/>
              <w:textAlignment w:val="bottom"/>
              <w:rPr>
                <w:color w:val="000000"/>
                <w:sz w:val="18"/>
                <w:szCs w:val="18"/>
              </w:rPr>
            </w:pPr>
            <w:r>
              <w:rPr>
                <w:rFonts w:hint="eastAsia"/>
                <w:color w:val="000000"/>
                <w:sz w:val="18"/>
                <w:szCs w:val="18"/>
              </w:rPr>
              <w:t>2.61</w:t>
            </w:r>
          </w:p>
        </w:tc>
        <w:tc>
          <w:tcPr>
            <w:tcW w:w="1697" w:type="dxa"/>
            <w:tcBorders>
              <w:top w:val="single" w:sz="4" w:space="0" w:color="000000"/>
              <w:left w:val="single" w:sz="4" w:space="0" w:color="000000"/>
              <w:bottom w:val="single" w:sz="4" w:space="0" w:color="000000"/>
              <w:right w:val="single" w:sz="4" w:space="0" w:color="000000"/>
            </w:tcBorders>
            <w:vAlign w:val="bottom"/>
          </w:tcPr>
          <w:p w14:paraId="36A95B76" w14:textId="77777777" w:rsidR="00182D0F" w:rsidRDefault="00000000">
            <w:pPr>
              <w:widowControl/>
              <w:jc w:val="center"/>
              <w:textAlignment w:val="bottom"/>
              <w:rPr>
                <w:color w:val="000000"/>
                <w:sz w:val="18"/>
                <w:szCs w:val="18"/>
              </w:rPr>
            </w:pPr>
            <w:r>
              <w:rPr>
                <w:rFonts w:hint="eastAsia"/>
                <w:color w:val="000000"/>
                <w:sz w:val="18"/>
                <w:szCs w:val="18"/>
              </w:rPr>
              <w:t>0.00</w:t>
            </w:r>
          </w:p>
        </w:tc>
      </w:tr>
      <w:tr w:rsidR="00182D0F" w14:paraId="3D576520" w14:textId="77777777">
        <w:trPr>
          <w:trHeight w:val="434"/>
          <w:jc w:val="center"/>
        </w:trPr>
        <w:tc>
          <w:tcPr>
            <w:tcW w:w="1755" w:type="dxa"/>
            <w:tcBorders>
              <w:top w:val="single" w:sz="4" w:space="0" w:color="000000"/>
              <w:left w:val="single" w:sz="4" w:space="0" w:color="000000"/>
              <w:bottom w:val="single" w:sz="4" w:space="0" w:color="000000"/>
              <w:right w:val="single" w:sz="4" w:space="0" w:color="000000"/>
            </w:tcBorders>
            <w:vAlign w:val="center"/>
          </w:tcPr>
          <w:p w14:paraId="55299157" w14:textId="77777777" w:rsidR="00182D0F" w:rsidRDefault="00000000">
            <w:pPr>
              <w:widowControl/>
              <w:jc w:val="center"/>
              <w:textAlignment w:val="center"/>
              <w:rPr>
                <w:color w:val="000000"/>
                <w:sz w:val="18"/>
                <w:szCs w:val="18"/>
              </w:rPr>
            </w:pPr>
            <w:r>
              <w:rPr>
                <w:rFonts w:hint="eastAsia"/>
                <w:color w:val="000000"/>
                <w:kern w:val="0"/>
                <w:sz w:val="18"/>
                <w:szCs w:val="18"/>
                <w:lang w:bidi="ar"/>
              </w:rPr>
              <w:t>4</w:t>
            </w:r>
          </w:p>
        </w:tc>
        <w:tc>
          <w:tcPr>
            <w:tcW w:w="2652" w:type="dxa"/>
            <w:tcBorders>
              <w:top w:val="single" w:sz="4" w:space="0" w:color="000000"/>
              <w:left w:val="single" w:sz="4" w:space="0" w:color="000000"/>
              <w:bottom w:val="single" w:sz="4" w:space="0" w:color="000000"/>
              <w:right w:val="single" w:sz="4" w:space="0" w:color="000000"/>
            </w:tcBorders>
            <w:vAlign w:val="bottom"/>
          </w:tcPr>
          <w:p w14:paraId="36B99325" w14:textId="77777777" w:rsidR="00182D0F" w:rsidRDefault="00000000">
            <w:pPr>
              <w:widowControl/>
              <w:jc w:val="center"/>
              <w:textAlignment w:val="bottom"/>
              <w:rPr>
                <w:color w:val="000000"/>
                <w:sz w:val="18"/>
                <w:szCs w:val="18"/>
              </w:rPr>
            </w:pPr>
            <w:r>
              <w:rPr>
                <w:rFonts w:ascii="等线" w:eastAsia="等线" w:hAnsi="等线" w:cs="等线" w:hint="eastAsia"/>
                <w:color w:val="000000"/>
                <w:kern w:val="0"/>
                <w:sz w:val="18"/>
                <w:szCs w:val="18"/>
                <w:lang w:bidi="ar"/>
              </w:rPr>
              <w:t>3.26</w:t>
            </w:r>
          </w:p>
        </w:tc>
        <w:tc>
          <w:tcPr>
            <w:tcW w:w="2255" w:type="dxa"/>
            <w:tcBorders>
              <w:top w:val="single" w:sz="4" w:space="0" w:color="000000"/>
              <w:left w:val="single" w:sz="4" w:space="0" w:color="000000"/>
              <w:bottom w:val="single" w:sz="4" w:space="0" w:color="000000"/>
              <w:right w:val="single" w:sz="4" w:space="0" w:color="000000"/>
            </w:tcBorders>
            <w:vAlign w:val="bottom"/>
          </w:tcPr>
          <w:p w14:paraId="084EB26F" w14:textId="77777777" w:rsidR="00182D0F" w:rsidRDefault="00000000">
            <w:pPr>
              <w:widowControl/>
              <w:jc w:val="center"/>
              <w:textAlignment w:val="bottom"/>
              <w:rPr>
                <w:color w:val="000000"/>
                <w:sz w:val="18"/>
                <w:szCs w:val="18"/>
              </w:rPr>
            </w:pPr>
            <w:r>
              <w:rPr>
                <w:rFonts w:hint="eastAsia"/>
                <w:color w:val="000000"/>
                <w:sz w:val="18"/>
                <w:szCs w:val="18"/>
              </w:rPr>
              <w:t>3.23</w:t>
            </w:r>
          </w:p>
        </w:tc>
        <w:tc>
          <w:tcPr>
            <w:tcW w:w="1697" w:type="dxa"/>
            <w:tcBorders>
              <w:top w:val="single" w:sz="4" w:space="0" w:color="000000"/>
              <w:left w:val="single" w:sz="4" w:space="0" w:color="000000"/>
              <w:bottom w:val="single" w:sz="4" w:space="0" w:color="000000"/>
              <w:right w:val="single" w:sz="4" w:space="0" w:color="000000"/>
            </w:tcBorders>
            <w:vAlign w:val="bottom"/>
          </w:tcPr>
          <w:p w14:paraId="4E200472" w14:textId="77777777" w:rsidR="00182D0F" w:rsidRDefault="00000000">
            <w:pPr>
              <w:widowControl/>
              <w:jc w:val="center"/>
              <w:textAlignment w:val="bottom"/>
              <w:rPr>
                <w:color w:val="000000"/>
                <w:sz w:val="18"/>
                <w:szCs w:val="18"/>
              </w:rPr>
            </w:pPr>
            <w:r>
              <w:rPr>
                <w:rFonts w:hint="eastAsia"/>
                <w:color w:val="000000"/>
                <w:sz w:val="18"/>
                <w:szCs w:val="18"/>
              </w:rPr>
              <w:t>0.03</w:t>
            </w:r>
          </w:p>
        </w:tc>
      </w:tr>
      <w:tr w:rsidR="00182D0F" w14:paraId="5D511CD7" w14:textId="77777777">
        <w:trPr>
          <w:trHeight w:val="434"/>
          <w:jc w:val="center"/>
        </w:trPr>
        <w:tc>
          <w:tcPr>
            <w:tcW w:w="1755" w:type="dxa"/>
            <w:tcBorders>
              <w:top w:val="single" w:sz="4" w:space="0" w:color="000000"/>
              <w:left w:val="single" w:sz="4" w:space="0" w:color="000000"/>
              <w:bottom w:val="single" w:sz="4" w:space="0" w:color="000000"/>
              <w:right w:val="single" w:sz="4" w:space="0" w:color="000000"/>
            </w:tcBorders>
            <w:vAlign w:val="center"/>
          </w:tcPr>
          <w:p w14:paraId="5CCF630D" w14:textId="77777777" w:rsidR="00182D0F" w:rsidRDefault="00000000">
            <w:pPr>
              <w:widowControl/>
              <w:jc w:val="center"/>
              <w:textAlignment w:val="center"/>
              <w:rPr>
                <w:color w:val="000000"/>
                <w:sz w:val="18"/>
                <w:szCs w:val="18"/>
              </w:rPr>
            </w:pPr>
            <w:r>
              <w:rPr>
                <w:rFonts w:hint="eastAsia"/>
                <w:color w:val="000000"/>
                <w:kern w:val="0"/>
                <w:sz w:val="18"/>
                <w:szCs w:val="18"/>
                <w:lang w:bidi="ar"/>
              </w:rPr>
              <w:t>5</w:t>
            </w:r>
          </w:p>
        </w:tc>
        <w:tc>
          <w:tcPr>
            <w:tcW w:w="2652" w:type="dxa"/>
            <w:tcBorders>
              <w:top w:val="single" w:sz="4" w:space="0" w:color="000000"/>
              <w:left w:val="single" w:sz="4" w:space="0" w:color="000000"/>
              <w:bottom w:val="single" w:sz="4" w:space="0" w:color="000000"/>
              <w:right w:val="single" w:sz="4" w:space="0" w:color="000000"/>
            </w:tcBorders>
            <w:vAlign w:val="bottom"/>
          </w:tcPr>
          <w:p w14:paraId="1B17CF2E" w14:textId="77777777" w:rsidR="00182D0F" w:rsidRDefault="00000000">
            <w:pPr>
              <w:widowControl/>
              <w:jc w:val="center"/>
              <w:textAlignment w:val="bottom"/>
              <w:rPr>
                <w:color w:val="000000"/>
                <w:sz w:val="18"/>
                <w:szCs w:val="18"/>
              </w:rPr>
            </w:pPr>
            <w:r>
              <w:rPr>
                <w:rFonts w:ascii="等线" w:eastAsia="等线" w:hAnsi="等线" w:cs="等线" w:hint="eastAsia"/>
                <w:color w:val="000000"/>
                <w:kern w:val="0"/>
                <w:sz w:val="18"/>
                <w:szCs w:val="18"/>
                <w:lang w:bidi="ar"/>
              </w:rPr>
              <w:t>6.14</w:t>
            </w:r>
          </w:p>
        </w:tc>
        <w:tc>
          <w:tcPr>
            <w:tcW w:w="2255" w:type="dxa"/>
            <w:tcBorders>
              <w:top w:val="single" w:sz="4" w:space="0" w:color="000000"/>
              <w:left w:val="single" w:sz="4" w:space="0" w:color="000000"/>
              <w:bottom w:val="single" w:sz="4" w:space="0" w:color="000000"/>
              <w:right w:val="single" w:sz="4" w:space="0" w:color="000000"/>
            </w:tcBorders>
            <w:vAlign w:val="bottom"/>
          </w:tcPr>
          <w:p w14:paraId="7B73C8EF" w14:textId="77777777" w:rsidR="00182D0F" w:rsidRDefault="00000000">
            <w:pPr>
              <w:widowControl/>
              <w:jc w:val="center"/>
              <w:textAlignment w:val="bottom"/>
              <w:rPr>
                <w:color w:val="000000"/>
                <w:sz w:val="18"/>
                <w:szCs w:val="18"/>
              </w:rPr>
            </w:pPr>
            <w:r>
              <w:rPr>
                <w:rFonts w:hint="eastAsia"/>
                <w:color w:val="000000"/>
                <w:sz w:val="18"/>
                <w:szCs w:val="18"/>
              </w:rPr>
              <w:t>6.02</w:t>
            </w:r>
          </w:p>
        </w:tc>
        <w:tc>
          <w:tcPr>
            <w:tcW w:w="1697" w:type="dxa"/>
            <w:tcBorders>
              <w:top w:val="single" w:sz="4" w:space="0" w:color="000000"/>
              <w:left w:val="single" w:sz="4" w:space="0" w:color="000000"/>
              <w:bottom w:val="single" w:sz="4" w:space="0" w:color="000000"/>
              <w:right w:val="single" w:sz="4" w:space="0" w:color="000000"/>
            </w:tcBorders>
            <w:vAlign w:val="bottom"/>
          </w:tcPr>
          <w:p w14:paraId="23F085FE" w14:textId="77777777" w:rsidR="00182D0F" w:rsidRDefault="00000000">
            <w:pPr>
              <w:widowControl/>
              <w:jc w:val="center"/>
              <w:textAlignment w:val="bottom"/>
              <w:rPr>
                <w:color w:val="000000"/>
                <w:sz w:val="18"/>
                <w:szCs w:val="18"/>
              </w:rPr>
            </w:pPr>
            <w:r>
              <w:rPr>
                <w:rFonts w:hint="eastAsia"/>
                <w:color w:val="000000"/>
                <w:sz w:val="18"/>
                <w:szCs w:val="18"/>
              </w:rPr>
              <w:t>0.12</w:t>
            </w:r>
          </w:p>
        </w:tc>
      </w:tr>
      <w:tr w:rsidR="00182D0F" w14:paraId="324D64BA" w14:textId="77777777">
        <w:trPr>
          <w:trHeight w:val="434"/>
          <w:jc w:val="center"/>
        </w:trPr>
        <w:tc>
          <w:tcPr>
            <w:tcW w:w="1755" w:type="dxa"/>
            <w:tcBorders>
              <w:top w:val="single" w:sz="4" w:space="0" w:color="000000"/>
              <w:left w:val="single" w:sz="4" w:space="0" w:color="000000"/>
              <w:bottom w:val="single" w:sz="4" w:space="0" w:color="000000"/>
              <w:right w:val="single" w:sz="4" w:space="0" w:color="000000"/>
            </w:tcBorders>
            <w:vAlign w:val="center"/>
          </w:tcPr>
          <w:p w14:paraId="0BCC4D75" w14:textId="77777777" w:rsidR="00182D0F" w:rsidRDefault="00000000">
            <w:pPr>
              <w:widowControl/>
              <w:jc w:val="center"/>
              <w:textAlignment w:val="center"/>
              <w:rPr>
                <w:color w:val="000000"/>
                <w:sz w:val="18"/>
                <w:szCs w:val="18"/>
              </w:rPr>
            </w:pPr>
            <w:r>
              <w:rPr>
                <w:rFonts w:hint="eastAsia"/>
                <w:color w:val="000000"/>
                <w:kern w:val="0"/>
                <w:sz w:val="18"/>
                <w:szCs w:val="18"/>
                <w:lang w:bidi="ar"/>
              </w:rPr>
              <w:t>6</w:t>
            </w:r>
          </w:p>
        </w:tc>
        <w:tc>
          <w:tcPr>
            <w:tcW w:w="2652" w:type="dxa"/>
            <w:tcBorders>
              <w:top w:val="single" w:sz="4" w:space="0" w:color="000000"/>
              <w:left w:val="single" w:sz="4" w:space="0" w:color="000000"/>
              <w:bottom w:val="single" w:sz="4" w:space="0" w:color="000000"/>
              <w:right w:val="single" w:sz="4" w:space="0" w:color="000000"/>
            </w:tcBorders>
            <w:vAlign w:val="bottom"/>
          </w:tcPr>
          <w:p w14:paraId="37C443D1" w14:textId="77777777" w:rsidR="00182D0F" w:rsidRDefault="00000000">
            <w:pPr>
              <w:widowControl/>
              <w:jc w:val="center"/>
              <w:textAlignment w:val="bottom"/>
              <w:rPr>
                <w:color w:val="000000"/>
                <w:sz w:val="18"/>
                <w:szCs w:val="18"/>
              </w:rPr>
            </w:pPr>
            <w:r>
              <w:rPr>
                <w:rFonts w:ascii="等线" w:eastAsia="等线" w:hAnsi="等线" w:cs="等线" w:hint="eastAsia"/>
                <w:color w:val="000000"/>
                <w:kern w:val="0"/>
                <w:sz w:val="18"/>
                <w:szCs w:val="18"/>
                <w:lang w:bidi="ar"/>
              </w:rPr>
              <w:t>7.48</w:t>
            </w:r>
          </w:p>
        </w:tc>
        <w:tc>
          <w:tcPr>
            <w:tcW w:w="2255" w:type="dxa"/>
            <w:tcBorders>
              <w:top w:val="single" w:sz="4" w:space="0" w:color="000000"/>
              <w:left w:val="single" w:sz="4" w:space="0" w:color="000000"/>
              <w:bottom w:val="single" w:sz="4" w:space="0" w:color="000000"/>
              <w:right w:val="single" w:sz="4" w:space="0" w:color="000000"/>
            </w:tcBorders>
            <w:vAlign w:val="bottom"/>
          </w:tcPr>
          <w:p w14:paraId="7F6A793F" w14:textId="77777777" w:rsidR="00182D0F" w:rsidRDefault="00000000">
            <w:pPr>
              <w:widowControl/>
              <w:jc w:val="center"/>
              <w:textAlignment w:val="bottom"/>
              <w:rPr>
                <w:color w:val="000000"/>
                <w:sz w:val="18"/>
                <w:szCs w:val="18"/>
              </w:rPr>
            </w:pPr>
            <w:r>
              <w:rPr>
                <w:rFonts w:hint="eastAsia"/>
                <w:color w:val="000000"/>
                <w:sz w:val="18"/>
                <w:szCs w:val="18"/>
              </w:rPr>
              <w:t>7.34</w:t>
            </w:r>
          </w:p>
        </w:tc>
        <w:tc>
          <w:tcPr>
            <w:tcW w:w="1697" w:type="dxa"/>
            <w:tcBorders>
              <w:top w:val="single" w:sz="4" w:space="0" w:color="000000"/>
              <w:left w:val="single" w:sz="4" w:space="0" w:color="000000"/>
              <w:bottom w:val="single" w:sz="4" w:space="0" w:color="000000"/>
              <w:right w:val="single" w:sz="4" w:space="0" w:color="000000"/>
            </w:tcBorders>
            <w:vAlign w:val="bottom"/>
          </w:tcPr>
          <w:p w14:paraId="32BA5B4D" w14:textId="77777777" w:rsidR="00182D0F" w:rsidRDefault="00000000">
            <w:pPr>
              <w:widowControl/>
              <w:jc w:val="center"/>
              <w:textAlignment w:val="bottom"/>
              <w:rPr>
                <w:color w:val="000000"/>
                <w:sz w:val="18"/>
                <w:szCs w:val="18"/>
              </w:rPr>
            </w:pPr>
            <w:r>
              <w:rPr>
                <w:rFonts w:hint="eastAsia"/>
                <w:color w:val="000000"/>
                <w:sz w:val="18"/>
                <w:szCs w:val="18"/>
              </w:rPr>
              <w:t>0.14</w:t>
            </w:r>
          </w:p>
        </w:tc>
      </w:tr>
      <w:tr w:rsidR="00182D0F" w14:paraId="7DA6DD27" w14:textId="77777777">
        <w:trPr>
          <w:trHeight w:val="434"/>
          <w:jc w:val="center"/>
        </w:trPr>
        <w:tc>
          <w:tcPr>
            <w:tcW w:w="1755" w:type="dxa"/>
            <w:tcBorders>
              <w:top w:val="single" w:sz="4" w:space="0" w:color="000000"/>
              <w:left w:val="single" w:sz="4" w:space="0" w:color="000000"/>
              <w:bottom w:val="single" w:sz="4" w:space="0" w:color="000000"/>
              <w:right w:val="single" w:sz="4" w:space="0" w:color="000000"/>
            </w:tcBorders>
            <w:vAlign w:val="center"/>
          </w:tcPr>
          <w:p w14:paraId="5E1DFF8C" w14:textId="77777777" w:rsidR="00182D0F" w:rsidRDefault="00000000">
            <w:pPr>
              <w:widowControl/>
              <w:jc w:val="center"/>
              <w:textAlignment w:val="center"/>
              <w:rPr>
                <w:color w:val="000000"/>
                <w:sz w:val="18"/>
                <w:szCs w:val="18"/>
              </w:rPr>
            </w:pPr>
            <w:r>
              <w:rPr>
                <w:rFonts w:hint="eastAsia"/>
                <w:color w:val="000000"/>
                <w:kern w:val="0"/>
                <w:sz w:val="18"/>
                <w:szCs w:val="18"/>
                <w:lang w:bidi="ar"/>
              </w:rPr>
              <w:t>7</w:t>
            </w:r>
          </w:p>
        </w:tc>
        <w:tc>
          <w:tcPr>
            <w:tcW w:w="2652" w:type="dxa"/>
            <w:tcBorders>
              <w:top w:val="single" w:sz="4" w:space="0" w:color="000000"/>
              <w:left w:val="single" w:sz="4" w:space="0" w:color="000000"/>
              <w:bottom w:val="single" w:sz="4" w:space="0" w:color="000000"/>
              <w:right w:val="single" w:sz="4" w:space="0" w:color="000000"/>
            </w:tcBorders>
            <w:vAlign w:val="bottom"/>
          </w:tcPr>
          <w:p w14:paraId="3FE17EBE" w14:textId="77777777" w:rsidR="00182D0F" w:rsidRDefault="00000000">
            <w:pPr>
              <w:widowControl/>
              <w:jc w:val="center"/>
              <w:textAlignment w:val="bottom"/>
              <w:rPr>
                <w:color w:val="000000"/>
                <w:sz w:val="18"/>
                <w:szCs w:val="18"/>
              </w:rPr>
            </w:pPr>
            <w:r>
              <w:rPr>
                <w:rFonts w:ascii="等线" w:eastAsia="等线" w:hAnsi="等线" w:cs="等线" w:hint="eastAsia"/>
                <w:color w:val="000000"/>
                <w:kern w:val="0"/>
                <w:sz w:val="18"/>
                <w:szCs w:val="18"/>
                <w:lang w:bidi="ar"/>
              </w:rPr>
              <w:t>1.69</w:t>
            </w:r>
          </w:p>
        </w:tc>
        <w:tc>
          <w:tcPr>
            <w:tcW w:w="2255" w:type="dxa"/>
            <w:tcBorders>
              <w:top w:val="single" w:sz="4" w:space="0" w:color="000000"/>
              <w:left w:val="single" w:sz="4" w:space="0" w:color="000000"/>
              <w:bottom w:val="single" w:sz="4" w:space="0" w:color="000000"/>
              <w:right w:val="single" w:sz="4" w:space="0" w:color="000000"/>
            </w:tcBorders>
            <w:vAlign w:val="bottom"/>
          </w:tcPr>
          <w:p w14:paraId="48C8138B" w14:textId="77777777" w:rsidR="00182D0F" w:rsidRDefault="00000000">
            <w:pPr>
              <w:widowControl/>
              <w:jc w:val="center"/>
              <w:textAlignment w:val="bottom"/>
              <w:rPr>
                <w:color w:val="000000"/>
                <w:sz w:val="18"/>
                <w:szCs w:val="18"/>
              </w:rPr>
            </w:pPr>
            <w:r>
              <w:rPr>
                <w:rFonts w:hint="eastAsia"/>
                <w:color w:val="000000"/>
                <w:sz w:val="18"/>
                <w:szCs w:val="18"/>
              </w:rPr>
              <w:t>1.70</w:t>
            </w:r>
          </w:p>
        </w:tc>
        <w:tc>
          <w:tcPr>
            <w:tcW w:w="1697" w:type="dxa"/>
            <w:tcBorders>
              <w:top w:val="single" w:sz="4" w:space="0" w:color="000000"/>
              <w:left w:val="single" w:sz="4" w:space="0" w:color="000000"/>
              <w:bottom w:val="single" w:sz="4" w:space="0" w:color="000000"/>
              <w:right w:val="single" w:sz="4" w:space="0" w:color="000000"/>
            </w:tcBorders>
            <w:vAlign w:val="bottom"/>
          </w:tcPr>
          <w:p w14:paraId="3EA29124" w14:textId="77777777" w:rsidR="00182D0F" w:rsidRDefault="00000000">
            <w:pPr>
              <w:widowControl/>
              <w:jc w:val="center"/>
              <w:textAlignment w:val="bottom"/>
              <w:rPr>
                <w:color w:val="000000"/>
                <w:sz w:val="18"/>
                <w:szCs w:val="18"/>
              </w:rPr>
            </w:pPr>
            <w:r>
              <w:rPr>
                <w:rFonts w:hint="eastAsia"/>
                <w:color w:val="000000"/>
                <w:sz w:val="18"/>
                <w:szCs w:val="18"/>
              </w:rPr>
              <w:t>-0.01</w:t>
            </w:r>
          </w:p>
        </w:tc>
      </w:tr>
      <w:tr w:rsidR="00182D0F" w14:paraId="1779C533" w14:textId="77777777">
        <w:trPr>
          <w:trHeight w:val="434"/>
          <w:jc w:val="center"/>
        </w:trPr>
        <w:tc>
          <w:tcPr>
            <w:tcW w:w="1755" w:type="dxa"/>
            <w:tcBorders>
              <w:top w:val="single" w:sz="4" w:space="0" w:color="000000"/>
              <w:left w:val="single" w:sz="4" w:space="0" w:color="000000"/>
              <w:bottom w:val="single" w:sz="4" w:space="0" w:color="000000"/>
              <w:right w:val="single" w:sz="4" w:space="0" w:color="000000"/>
            </w:tcBorders>
            <w:vAlign w:val="center"/>
          </w:tcPr>
          <w:p w14:paraId="057F2186" w14:textId="77777777" w:rsidR="00182D0F" w:rsidRDefault="00000000">
            <w:pPr>
              <w:widowControl/>
              <w:jc w:val="center"/>
              <w:textAlignment w:val="center"/>
              <w:rPr>
                <w:color w:val="000000"/>
                <w:sz w:val="18"/>
                <w:szCs w:val="18"/>
              </w:rPr>
            </w:pPr>
            <w:r>
              <w:rPr>
                <w:rFonts w:hint="eastAsia"/>
                <w:color w:val="000000"/>
                <w:kern w:val="0"/>
                <w:sz w:val="18"/>
                <w:szCs w:val="18"/>
                <w:lang w:bidi="ar"/>
              </w:rPr>
              <w:t>8</w:t>
            </w:r>
          </w:p>
        </w:tc>
        <w:tc>
          <w:tcPr>
            <w:tcW w:w="2652" w:type="dxa"/>
            <w:tcBorders>
              <w:top w:val="single" w:sz="4" w:space="0" w:color="000000"/>
              <w:left w:val="single" w:sz="4" w:space="0" w:color="000000"/>
              <w:bottom w:val="single" w:sz="4" w:space="0" w:color="000000"/>
              <w:right w:val="single" w:sz="4" w:space="0" w:color="000000"/>
            </w:tcBorders>
            <w:vAlign w:val="bottom"/>
          </w:tcPr>
          <w:p w14:paraId="7935CAFF" w14:textId="77777777" w:rsidR="00182D0F" w:rsidRDefault="00000000">
            <w:pPr>
              <w:widowControl/>
              <w:jc w:val="center"/>
              <w:textAlignment w:val="bottom"/>
              <w:rPr>
                <w:color w:val="000000"/>
                <w:sz w:val="18"/>
                <w:szCs w:val="18"/>
              </w:rPr>
            </w:pPr>
            <w:r>
              <w:rPr>
                <w:rFonts w:ascii="等线" w:eastAsia="等线" w:hAnsi="等线" w:cs="等线" w:hint="eastAsia"/>
                <w:color w:val="000000"/>
                <w:kern w:val="0"/>
                <w:sz w:val="18"/>
                <w:szCs w:val="18"/>
                <w:lang w:bidi="ar"/>
              </w:rPr>
              <w:t>8.77</w:t>
            </w:r>
          </w:p>
        </w:tc>
        <w:tc>
          <w:tcPr>
            <w:tcW w:w="2255" w:type="dxa"/>
            <w:tcBorders>
              <w:top w:val="single" w:sz="4" w:space="0" w:color="000000"/>
              <w:left w:val="single" w:sz="4" w:space="0" w:color="000000"/>
              <w:bottom w:val="single" w:sz="4" w:space="0" w:color="000000"/>
              <w:right w:val="single" w:sz="4" w:space="0" w:color="000000"/>
            </w:tcBorders>
            <w:vAlign w:val="bottom"/>
          </w:tcPr>
          <w:p w14:paraId="1FB9971E" w14:textId="77777777" w:rsidR="00182D0F" w:rsidRDefault="00000000">
            <w:pPr>
              <w:widowControl/>
              <w:jc w:val="center"/>
              <w:textAlignment w:val="bottom"/>
              <w:rPr>
                <w:color w:val="000000"/>
                <w:sz w:val="18"/>
                <w:szCs w:val="18"/>
              </w:rPr>
            </w:pPr>
            <w:r>
              <w:rPr>
                <w:rFonts w:hint="eastAsia"/>
                <w:color w:val="000000"/>
                <w:sz w:val="18"/>
                <w:szCs w:val="18"/>
              </w:rPr>
              <w:t>8.65</w:t>
            </w:r>
          </w:p>
        </w:tc>
        <w:tc>
          <w:tcPr>
            <w:tcW w:w="1697" w:type="dxa"/>
            <w:tcBorders>
              <w:top w:val="single" w:sz="4" w:space="0" w:color="000000"/>
              <w:left w:val="single" w:sz="4" w:space="0" w:color="000000"/>
              <w:bottom w:val="single" w:sz="4" w:space="0" w:color="000000"/>
              <w:right w:val="single" w:sz="4" w:space="0" w:color="000000"/>
            </w:tcBorders>
            <w:vAlign w:val="bottom"/>
          </w:tcPr>
          <w:p w14:paraId="2DE724C1" w14:textId="77777777" w:rsidR="00182D0F" w:rsidRDefault="00000000">
            <w:pPr>
              <w:widowControl/>
              <w:jc w:val="center"/>
              <w:textAlignment w:val="bottom"/>
              <w:rPr>
                <w:color w:val="000000"/>
                <w:sz w:val="18"/>
                <w:szCs w:val="18"/>
              </w:rPr>
            </w:pPr>
            <w:r>
              <w:rPr>
                <w:rFonts w:hint="eastAsia"/>
                <w:color w:val="000000"/>
                <w:sz w:val="18"/>
                <w:szCs w:val="18"/>
              </w:rPr>
              <w:t>0.12</w:t>
            </w:r>
          </w:p>
        </w:tc>
      </w:tr>
      <w:tr w:rsidR="00182D0F" w14:paraId="566B86D0" w14:textId="77777777">
        <w:trPr>
          <w:trHeight w:val="477"/>
          <w:jc w:val="center"/>
        </w:trPr>
        <w:tc>
          <w:tcPr>
            <w:tcW w:w="1755" w:type="dxa"/>
            <w:tcBorders>
              <w:top w:val="single" w:sz="4" w:space="0" w:color="000000"/>
              <w:left w:val="single" w:sz="4" w:space="0" w:color="000000"/>
              <w:bottom w:val="single" w:sz="4" w:space="0" w:color="000000"/>
              <w:right w:val="single" w:sz="4" w:space="0" w:color="000000"/>
            </w:tcBorders>
            <w:vAlign w:val="center"/>
          </w:tcPr>
          <w:p w14:paraId="358EFB23" w14:textId="77777777" w:rsidR="00182D0F" w:rsidRDefault="00000000">
            <w:pPr>
              <w:widowControl/>
              <w:jc w:val="center"/>
              <w:textAlignment w:val="center"/>
              <w:rPr>
                <w:color w:val="000000"/>
                <w:sz w:val="18"/>
                <w:szCs w:val="18"/>
              </w:rPr>
            </w:pPr>
            <w:r>
              <w:rPr>
                <w:rFonts w:hint="eastAsia"/>
                <w:color w:val="000000"/>
                <w:kern w:val="0"/>
                <w:sz w:val="18"/>
                <w:szCs w:val="18"/>
                <w:lang w:bidi="ar"/>
              </w:rPr>
              <w:t>9</w:t>
            </w:r>
          </w:p>
        </w:tc>
        <w:tc>
          <w:tcPr>
            <w:tcW w:w="2652" w:type="dxa"/>
            <w:tcBorders>
              <w:top w:val="single" w:sz="4" w:space="0" w:color="000000"/>
              <w:left w:val="single" w:sz="4" w:space="0" w:color="000000"/>
              <w:bottom w:val="single" w:sz="4" w:space="0" w:color="000000"/>
              <w:right w:val="single" w:sz="4" w:space="0" w:color="000000"/>
            </w:tcBorders>
            <w:vAlign w:val="bottom"/>
          </w:tcPr>
          <w:p w14:paraId="49453DBD" w14:textId="77777777" w:rsidR="00182D0F" w:rsidRDefault="00000000">
            <w:pPr>
              <w:widowControl/>
              <w:jc w:val="center"/>
              <w:textAlignment w:val="bottom"/>
              <w:rPr>
                <w:color w:val="000000"/>
                <w:sz w:val="18"/>
                <w:szCs w:val="18"/>
              </w:rPr>
            </w:pPr>
            <w:r>
              <w:rPr>
                <w:rFonts w:ascii="等线" w:eastAsia="等线" w:hAnsi="等线" w:cs="等线" w:hint="eastAsia"/>
                <w:color w:val="000000"/>
                <w:kern w:val="0"/>
                <w:sz w:val="18"/>
                <w:szCs w:val="18"/>
                <w:lang w:bidi="ar"/>
              </w:rPr>
              <w:t>8.18</w:t>
            </w:r>
          </w:p>
        </w:tc>
        <w:tc>
          <w:tcPr>
            <w:tcW w:w="2255" w:type="dxa"/>
            <w:tcBorders>
              <w:top w:val="single" w:sz="4" w:space="0" w:color="000000"/>
              <w:left w:val="single" w:sz="4" w:space="0" w:color="000000"/>
              <w:bottom w:val="single" w:sz="4" w:space="0" w:color="000000"/>
              <w:right w:val="single" w:sz="4" w:space="0" w:color="000000"/>
            </w:tcBorders>
            <w:vAlign w:val="bottom"/>
          </w:tcPr>
          <w:p w14:paraId="005E5534" w14:textId="77777777" w:rsidR="00182D0F" w:rsidRDefault="00000000">
            <w:pPr>
              <w:widowControl/>
              <w:jc w:val="center"/>
              <w:textAlignment w:val="bottom"/>
              <w:rPr>
                <w:color w:val="000000"/>
                <w:sz w:val="18"/>
                <w:szCs w:val="18"/>
              </w:rPr>
            </w:pPr>
            <w:r>
              <w:rPr>
                <w:rFonts w:hint="eastAsia"/>
                <w:color w:val="000000"/>
                <w:sz w:val="18"/>
                <w:szCs w:val="18"/>
              </w:rPr>
              <w:t>8.20</w:t>
            </w:r>
          </w:p>
        </w:tc>
        <w:tc>
          <w:tcPr>
            <w:tcW w:w="1697" w:type="dxa"/>
            <w:tcBorders>
              <w:top w:val="single" w:sz="4" w:space="0" w:color="000000"/>
              <w:left w:val="single" w:sz="4" w:space="0" w:color="000000"/>
              <w:bottom w:val="single" w:sz="4" w:space="0" w:color="000000"/>
              <w:right w:val="single" w:sz="4" w:space="0" w:color="000000"/>
            </w:tcBorders>
            <w:vAlign w:val="bottom"/>
          </w:tcPr>
          <w:p w14:paraId="3DF761B1" w14:textId="77777777" w:rsidR="00182D0F" w:rsidRDefault="00000000">
            <w:pPr>
              <w:widowControl/>
              <w:jc w:val="center"/>
              <w:textAlignment w:val="bottom"/>
              <w:rPr>
                <w:color w:val="000000"/>
                <w:sz w:val="18"/>
                <w:szCs w:val="18"/>
              </w:rPr>
            </w:pPr>
            <w:r>
              <w:rPr>
                <w:rFonts w:hint="eastAsia"/>
                <w:color w:val="000000"/>
                <w:sz w:val="18"/>
                <w:szCs w:val="18"/>
              </w:rPr>
              <w:t>-0.02</w:t>
            </w:r>
          </w:p>
        </w:tc>
      </w:tr>
    </w:tbl>
    <w:p w14:paraId="761FB4AC" w14:textId="77777777" w:rsidR="00182D0F" w:rsidRDefault="00182D0F">
      <w:pPr>
        <w:pStyle w:val="af1"/>
        <w:tabs>
          <w:tab w:val="center" w:pos="4201"/>
          <w:tab w:val="right" w:leader="dot" w:pos="9298"/>
        </w:tabs>
        <w:ind w:firstLineChars="0" w:firstLine="0"/>
        <w:rPr>
          <w:rFonts w:hAnsi="宋体" w:hint="eastAsia"/>
          <w:bCs/>
        </w:rPr>
      </w:pPr>
    </w:p>
    <w:p w14:paraId="396325E4" w14:textId="77777777" w:rsidR="00182D0F" w:rsidRDefault="00000000">
      <w:pPr>
        <w:pStyle w:val="af1"/>
        <w:tabs>
          <w:tab w:val="center" w:pos="4201"/>
          <w:tab w:val="right" w:leader="dot" w:pos="9298"/>
        </w:tabs>
        <w:ind w:firstLineChars="202" w:firstLine="424"/>
        <w:rPr>
          <w:rFonts w:hAnsi="宋体" w:hint="eastAsia"/>
          <w:bCs/>
        </w:rPr>
      </w:pPr>
      <w:r>
        <w:rPr>
          <w:rFonts w:hAnsi="宋体" w:hint="eastAsia"/>
          <w:bCs/>
        </w:rPr>
        <w:lastRenderedPageBreak/>
        <w:t>依据表1数据，对新旧两种方法测试结果的统计分析如下：</w:t>
      </w:r>
    </w:p>
    <w:p w14:paraId="2BB17BF6" w14:textId="77777777" w:rsidR="00182D0F" w:rsidRDefault="00000000">
      <w:pPr>
        <w:widowControl/>
        <w:ind w:firstLineChars="200" w:firstLine="420"/>
        <w:jc w:val="left"/>
        <w:rPr>
          <w:rFonts w:ascii="宋体" w:hAnsi="宋体" w:hint="eastAsia"/>
          <w:bCs/>
          <w:kern w:val="0"/>
          <w:szCs w:val="20"/>
        </w:rPr>
      </w:pPr>
      <w:r>
        <w:rPr>
          <w:rFonts w:ascii="宋体" w:hAnsi="宋体" w:hint="eastAsia"/>
          <w:bCs/>
          <w:kern w:val="0"/>
          <w:szCs w:val="20"/>
        </w:rPr>
        <w:t>9个样品两个方法测试结果的差值平均值(</w:t>
      </w:r>
      <m:oMath>
        <m:acc>
          <m:accPr>
            <m:chr m:val="̅"/>
            <m:ctrlPr>
              <w:rPr>
                <w:rFonts w:ascii="Cambria Math" w:hAnsi="Cambria Math"/>
                <w:bCs/>
                <w:i/>
                <w:kern w:val="0"/>
                <w:szCs w:val="20"/>
              </w:rPr>
            </m:ctrlPr>
          </m:accPr>
          <m:e>
            <m:r>
              <w:rPr>
                <w:rFonts w:ascii="Cambria Math" w:hAnsi="Cambria Math"/>
                <w:kern w:val="0"/>
                <w:szCs w:val="20"/>
              </w:rPr>
              <m:t>d</m:t>
            </m:r>
          </m:e>
        </m:acc>
      </m:oMath>
      <w:r>
        <w:rPr>
          <w:rFonts w:ascii="宋体" w:hAnsi="宋体" w:hint="eastAsia"/>
          <w:bCs/>
          <w:kern w:val="0"/>
          <w:szCs w:val="20"/>
        </w:rPr>
        <w:t xml:space="preserve"> )为0.0</w:t>
      </w:r>
      <w:r>
        <w:rPr>
          <w:rFonts w:hAnsi="宋体" w:hint="eastAsia"/>
          <w:bCs/>
          <w:kern w:val="0"/>
          <w:szCs w:val="20"/>
        </w:rPr>
        <w:t>4</w:t>
      </w:r>
      <w:r>
        <w:rPr>
          <w:rFonts w:hAnsi="宋体" w:hint="eastAsia"/>
          <w:bCs/>
          <w:kern w:val="0"/>
          <w:szCs w:val="20"/>
        </w:rPr>
        <w:t>，</w:t>
      </w:r>
      <w:r>
        <w:rPr>
          <w:rFonts w:ascii="宋体" w:hAnsi="宋体"/>
          <w:bCs/>
          <w:kern w:val="0"/>
          <w:szCs w:val="20"/>
        </w:rPr>
        <w:t>差值标准差(</w:t>
      </w:r>
      <w:r>
        <w:rPr>
          <w:rFonts w:ascii="宋体" w:hAnsi="宋体" w:hint="eastAsia"/>
          <w:bCs/>
          <w:kern w:val="0"/>
          <w:szCs w:val="20"/>
        </w:rPr>
        <w:t>SD</w:t>
      </w:r>
      <w:r>
        <w:rPr>
          <w:rFonts w:ascii="宋体" w:hAnsi="宋体"/>
          <w:bCs/>
          <w:kern w:val="0"/>
          <w:szCs w:val="20"/>
        </w:rPr>
        <w:t>)</w:t>
      </w:r>
      <w:r>
        <w:rPr>
          <w:rFonts w:ascii="宋体" w:hAnsi="宋体" w:hint="eastAsia"/>
          <w:bCs/>
          <w:kern w:val="0"/>
          <w:szCs w:val="20"/>
        </w:rPr>
        <w:t>为</w:t>
      </w:r>
      <w:r>
        <w:rPr>
          <w:rFonts w:ascii="宋体" w:hAnsi="宋体"/>
          <w:bCs/>
          <w:kern w:val="0"/>
          <w:szCs w:val="20"/>
        </w:rPr>
        <w:t>0.06</w:t>
      </w:r>
      <w:r>
        <w:rPr>
          <w:rFonts w:ascii="宋体" w:hAnsi="宋体" w:hint="eastAsia"/>
          <w:bCs/>
          <w:kern w:val="0"/>
          <w:szCs w:val="20"/>
        </w:rPr>
        <w:t>67，</w:t>
      </w:r>
      <w:r>
        <w:rPr>
          <w:rFonts w:ascii="宋体" w:hAnsi="宋体"/>
          <w:bCs/>
          <w:kern w:val="0"/>
          <w:szCs w:val="20"/>
        </w:rPr>
        <w:t>样本数量(n)</w:t>
      </w:r>
      <w:r>
        <w:rPr>
          <w:rFonts w:ascii="宋体" w:hAnsi="宋体" w:hint="eastAsia"/>
          <w:bCs/>
          <w:kern w:val="0"/>
          <w:szCs w:val="20"/>
        </w:rPr>
        <w:t>为</w:t>
      </w:r>
      <w:r>
        <w:rPr>
          <w:rFonts w:ascii="宋体" w:hAnsi="宋体"/>
          <w:bCs/>
          <w:kern w:val="0"/>
          <w:szCs w:val="20"/>
        </w:rPr>
        <w:t>9</w:t>
      </w:r>
      <w:r>
        <w:rPr>
          <w:rFonts w:ascii="宋体" w:hAnsi="宋体" w:hint="eastAsia"/>
          <w:bCs/>
          <w:kern w:val="0"/>
          <w:szCs w:val="20"/>
        </w:rPr>
        <w:t>。</w:t>
      </w:r>
    </w:p>
    <w:p w14:paraId="52ED67EE" w14:textId="77777777" w:rsidR="00182D0F" w:rsidRDefault="00000000">
      <w:pPr>
        <w:widowControl/>
        <w:ind w:firstLineChars="228" w:firstLine="479"/>
        <w:jc w:val="left"/>
        <w:rPr>
          <w:rFonts w:ascii="宋体" w:hAnsi="宋体" w:hint="eastAsia"/>
          <w:bCs/>
          <w:kern w:val="0"/>
          <w:szCs w:val="20"/>
        </w:rPr>
      </w:pPr>
      <w:r>
        <w:rPr>
          <w:rFonts w:ascii="宋体" w:hAnsi="宋体" w:hint="eastAsia"/>
          <w:bCs/>
          <w:kern w:val="0"/>
          <w:szCs w:val="20"/>
        </w:rPr>
        <w:t>据此，</w:t>
      </w:r>
      <w:r>
        <w:rPr>
          <w:rFonts w:ascii="宋体" w:hAnsi="宋体"/>
          <w:bCs/>
          <w:kern w:val="0"/>
          <w:szCs w:val="20"/>
        </w:rPr>
        <w:t>零假设(H</w:t>
      </w:r>
      <w:r>
        <w:rPr>
          <w:rFonts w:ascii="宋体" w:hAnsi="宋体"/>
          <w:bCs/>
          <w:kern w:val="0"/>
          <w:szCs w:val="20"/>
          <w:vertAlign w:val="subscript"/>
        </w:rPr>
        <w:t>0</w:t>
      </w:r>
      <w:r>
        <w:rPr>
          <w:rFonts w:ascii="宋体" w:hAnsi="宋体"/>
          <w:bCs/>
          <w:kern w:val="0"/>
          <w:szCs w:val="20"/>
        </w:rPr>
        <w:t>):两种方法的平均差值为0（即无显著性差异）。备择假设(H</w:t>
      </w:r>
      <w:r>
        <w:rPr>
          <w:rFonts w:ascii="宋体" w:hAnsi="宋体"/>
          <w:bCs/>
          <w:kern w:val="0"/>
          <w:szCs w:val="20"/>
          <w:vertAlign w:val="subscript"/>
        </w:rPr>
        <w:t>1</w:t>
      </w:r>
      <w:r>
        <w:rPr>
          <w:rFonts w:ascii="宋体" w:hAnsi="宋体"/>
          <w:bCs/>
          <w:kern w:val="0"/>
          <w:szCs w:val="20"/>
        </w:rPr>
        <w:t>):两种方法的平均差值不为 0（即存在显著性差异）。</w:t>
      </w:r>
    </w:p>
    <w:p w14:paraId="78B8EDF3" w14:textId="77777777" w:rsidR="00182D0F" w:rsidRDefault="00000000">
      <w:pPr>
        <w:widowControl/>
        <w:shd w:val="clear" w:color="auto" w:fill="FFFFFF"/>
        <w:ind w:firstLineChars="200" w:firstLine="420"/>
        <w:jc w:val="left"/>
        <w:rPr>
          <w:rFonts w:ascii="宋体" w:hAnsi="宋体" w:hint="eastAsia"/>
          <w:bCs/>
          <w:kern w:val="0"/>
          <w:szCs w:val="20"/>
        </w:rPr>
      </w:pPr>
      <w:r>
        <w:rPr>
          <w:rFonts w:ascii="宋体" w:hAnsi="宋体" w:hint="eastAsia"/>
          <w:bCs/>
          <w:kern w:val="0"/>
          <w:szCs w:val="20"/>
        </w:rPr>
        <w:t>进行</w:t>
      </w:r>
      <w:r>
        <w:rPr>
          <w:rFonts w:ascii="宋体" w:hAnsi="宋体" w:hint="eastAsia"/>
          <w:bCs/>
          <w:i/>
          <w:iCs/>
          <w:kern w:val="0"/>
          <w:szCs w:val="20"/>
        </w:rPr>
        <w:t>t</w:t>
      </w:r>
      <w:r>
        <w:rPr>
          <w:rFonts w:ascii="宋体" w:hAnsi="宋体" w:hint="eastAsia"/>
          <w:bCs/>
          <w:kern w:val="0"/>
          <w:szCs w:val="20"/>
        </w:rPr>
        <w:t>检验</w:t>
      </w:r>
      <w:r>
        <w:rPr>
          <w:rFonts w:ascii="宋体" w:hAnsi="宋体"/>
          <w:bCs/>
          <w:kern w:val="0"/>
          <w:szCs w:val="20"/>
        </w:rPr>
        <w:t>：</w:t>
      </w:r>
    </w:p>
    <w:p w14:paraId="698D70F8" w14:textId="77777777" w:rsidR="00182D0F" w:rsidRDefault="00000000">
      <w:pPr>
        <w:widowControl/>
        <w:spacing w:beforeAutospacing="1" w:afterAutospacing="1"/>
        <w:ind w:left="-360" w:firstLineChars="200" w:firstLine="420"/>
        <w:jc w:val="left"/>
        <w:rPr>
          <w:rFonts w:ascii="宋体" w:hAnsi="宋体" w:hint="eastAsia"/>
          <w:bCs/>
          <w:kern w:val="0"/>
          <w:szCs w:val="20"/>
        </w:rPr>
      </w:pPr>
      <m:oMathPara>
        <m:oMath>
          <m:r>
            <w:rPr>
              <w:rFonts w:ascii="Cambria Math" w:hAnsi="Cambria Math"/>
              <w:kern w:val="0"/>
              <w:szCs w:val="20"/>
            </w:rPr>
            <m:t>t=</m:t>
          </m:r>
          <m:f>
            <m:fPr>
              <m:ctrlPr>
                <w:rPr>
                  <w:rFonts w:ascii="Cambria Math" w:hAnsi="Cambria Math"/>
                  <w:bCs/>
                  <w:i/>
                  <w:kern w:val="0"/>
                  <w:szCs w:val="20"/>
                </w:rPr>
              </m:ctrlPr>
            </m:fPr>
            <m:num>
              <m:acc>
                <m:accPr>
                  <m:chr m:val="̅"/>
                  <m:ctrlPr>
                    <w:rPr>
                      <w:rFonts w:ascii="Cambria Math" w:hAnsi="Cambria Math"/>
                      <w:bCs/>
                      <w:i/>
                      <w:kern w:val="0"/>
                      <w:szCs w:val="20"/>
                    </w:rPr>
                  </m:ctrlPr>
                </m:accPr>
                <m:e>
                  <m:r>
                    <w:rPr>
                      <w:rFonts w:ascii="Cambria Math" w:hAnsi="Cambria Math"/>
                      <w:kern w:val="0"/>
                      <w:szCs w:val="20"/>
                    </w:rPr>
                    <m:t>d</m:t>
                  </m:r>
                </m:e>
              </m:acc>
            </m:num>
            <m:den>
              <m:r>
                <w:rPr>
                  <w:rFonts w:ascii="Cambria Math" w:hAnsi="Cambria Math"/>
                  <w:kern w:val="0"/>
                  <w:szCs w:val="20"/>
                </w:rPr>
                <m:t>SD/</m:t>
              </m:r>
              <m:rad>
                <m:radPr>
                  <m:degHide m:val="1"/>
                  <m:ctrlPr>
                    <w:rPr>
                      <w:rFonts w:ascii="Cambria Math" w:hAnsi="Cambria Math"/>
                      <w:bCs/>
                      <w:i/>
                      <w:kern w:val="0"/>
                      <w:szCs w:val="20"/>
                    </w:rPr>
                  </m:ctrlPr>
                </m:radPr>
                <m:deg/>
                <m:e>
                  <m:r>
                    <w:rPr>
                      <w:rFonts w:ascii="Cambria Math" w:hAnsi="Cambria Math"/>
                      <w:kern w:val="0"/>
                      <w:szCs w:val="20"/>
                    </w:rPr>
                    <m:t>n</m:t>
                  </m:r>
                </m:e>
              </m:rad>
            </m:den>
          </m:f>
          <m:r>
            <w:rPr>
              <w:rFonts w:ascii="Cambria Math" w:hAnsi="Cambria Math"/>
              <w:kern w:val="0"/>
              <w:szCs w:val="20"/>
            </w:rPr>
            <m:t>=</m:t>
          </m:r>
          <m:f>
            <m:fPr>
              <m:ctrlPr>
                <w:rPr>
                  <w:rFonts w:ascii="Cambria Math" w:hAnsi="Cambria Math"/>
                  <w:bCs/>
                  <w:i/>
                  <w:kern w:val="0"/>
                  <w:szCs w:val="20"/>
                </w:rPr>
              </m:ctrlPr>
            </m:fPr>
            <m:num>
              <m:r>
                <w:rPr>
                  <w:rFonts w:ascii="Cambria Math" w:hAnsi="Cambria Math"/>
                  <w:kern w:val="0"/>
                  <w:szCs w:val="20"/>
                </w:rPr>
                <m:t>0.04</m:t>
              </m:r>
            </m:num>
            <m:den>
              <m:r>
                <w:rPr>
                  <w:rFonts w:ascii="Cambria Math" w:hAnsi="Cambria Math"/>
                  <w:kern w:val="0"/>
                  <w:szCs w:val="20"/>
                </w:rPr>
                <m:t>0.0667/</m:t>
              </m:r>
              <m:rad>
                <m:radPr>
                  <m:degHide m:val="1"/>
                  <m:ctrlPr>
                    <w:rPr>
                      <w:rFonts w:ascii="Cambria Math" w:hAnsi="Cambria Math"/>
                      <w:bCs/>
                      <w:i/>
                      <w:kern w:val="0"/>
                      <w:szCs w:val="20"/>
                    </w:rPr>
                  </m:ctrlPr>
                </m:radPr>
                <m:deg/>
                <m:e>
                  <m:r>
                    <w:rPr>
                      <w:rFonts w:ascii="Cambria Math" w:hAnsi="Cambria Math"/>
                      <w:kern w:val="0"/>
                      <w:szCs w:val="20"/>
                    </w:rPr>
                    <m:t>9</m:t>
                  </m:r>
                </m:e>
              </m:rad>
            </m:den>
          </m:f>
          <m:r>
            <w:rPr>
              <w:rFonts w:ascii="Cambria Math" w:hAnsi="Cambria Math"/>
              <w:kern w:val="0"/>
              <w:szCs w:val="20"/>
            </w:rPr>
            <m:t>=1.80</m:t>
          </m:r>
        </m:oMath>
      </m:oMathPara>
    </w:p>
    <w:p w14:paraId="7233D74C" w14:textId="77777777" w:rsidR="00182D0F" w:rsidRDefault="00000000">
      <w:pPr>
        <w:widowControl/>
        <w:ind w:firstLineChars="202" w:firstLine="424"/>
        <w:jc w:val="left"/>
        <w:rPr>
          <w:rFonts w:ascii="宋体" w:hAnsi="宋体" w:hint="eastAsia"/>
          <w:bCs/>
          <w:kern w:val="0"/>
          <w:szCs w:val="20"/>
        </w:rPr>
      </w:pPr>
      <w:r>
        <w:rPr>
          <w:rFonts w:ascii="宋体" w:hAnsi="宋体" w:hint="eastAsia"/>
          <w:bCs/>
          <w:kern w:val="0"/>
          <w:szCs w:val="20"/>
        </w:rPr>
        <w:t>查双侧检验表：</w:t>
      </w:r>
      <w:r>
        <w:rPr>
          <w:rFonts w:ascii="宋体" w:hAnsi="宋体"/>
          <w:bCs/>
          <w:kern w:val="0"/>
          <w:szCs w:val="20"/>
        </w:rPr>
        <w:t>自由度=n−1=8</w:t>
      </w:r>
      <w:r>
        <w:rPr>
          <w:rFonts w:ascii="宋体" w:hAnsi="宋体" w:hint="eastAsia"/>
          <w:bCs/>
          <w:kern w:val="0"/>
          <w:szCs w:val="20"/>
        </w:rPr>
        <w:t>,</w:t>
      </w:r>
      <w:r>
        <w:rPr>
          <w:rFonts w:ascii="宋体" w:hAnsi="宋体"/>
          <w:bCs/>
          <w:kern w:val="0"/>
          <w:szCs w:val="20"/>
        </w:rPr>
        <w:t>显著性水平(α)设定为0.05（95%置信度）</w:t>
      </w:r>
      <w:r>
        <w:rPr>
          <w:rFonts w:ascii="宋体" w:hAnsi="宋体" w:hint="eastAsia"/>
          <w:bCs/>
          <w:kern w:val="0"/>
          <w:szCs w:val="20"/>
        </w:rPr>
        <w:t>时的</w:t>
      </w:r>
      <w:r>
        <w:rPr>
          <w:rFonts w:ascii="宋体" w:hAnsi="宋体"/>
          <w:bCs/>
          <w:i/>
          <w:iCs/>
          <w:kern w:val="0"/>
          <w:szCs w:val="20"/>
        </w:rPr>
        <w:t>t</w:t>
      </w:r>
      <w:r>
        <w:rPr>
          <w:rFonts w:ascii="宋体" w:hAnsi="宋体"/>
          <w:bCs/>
          <w:kern w:val="0"/>
          <w:szCs w:val="20"/>
          <w:vertAlign w:val="subscript"/>
        </w:rPr>
        <w:t>临界值</w:t>
      </w:r>
      <w:r>
        <w:rPr>
          <w:rFonts w:ascii="宋体" w:hAnsi="宋体" w:hint="eastAsia"/>
          <w:bCs/>
          <w:kern w:val="0"/>
          <w:szCs w:val="20"/>
        </w:rPr>
        <w:t>=</w:t>
      </w:r>
      <w:r>
        <w:rPr>
          <w:rFonts w:ascii="宋体" w:hAnsi="宋体"/>
          <w:bCs/>
          <w:kern w:val="0"/>
          <w:szCs w:val="20"/>
        </w:rPr>
        <w:t>2</w:t>
      </w:r>
      <w:r>
        <w:rPr>
          <w:rFonts w:ascii="宋体" w:hAnsi="宋体" w:hint="eastAsia"/>
          <w:bCs/>
          <w:kern w:val="0"/>
          <w:szCs w:val="20"/>
        </w:rPr>
        <w:t>.</w:t>
      </w:r>
      <w:r>
        <w:rPr>
          <w:rFonts w:ascii="宋体" w:hAnsi="宋体"/>
          <w:bCs/>
          <w:kern w:val="0"/>
          <w:szCs w:val="20"/>
        </w:rPr>
        <w:t>306</w:t>
      </w:r>
      <w:r>
        <w:rPr>
          <w:rFonts w:ascii="宋体" w:hAnsi="宋体" w:hint="eastAsia"/>
          <w:bCs/>
          <w:kern w:val="0"/>
          <w:szCs w:val="20"/>
        </w:rPr>
        <w:t>。</w:t>
      </w:r>
      <w:r>
        <w:t>结论：在</w:t>
      </w:r>
      <w:r>
        <w:t>95%</w:t>
      </w:r>
      <w:r>
        <w:t>的置信水平下，</w:t>
      </w:r>
      <w:r>
        <w:rPr>
          <w:rFonts w:hint="eastAsia"/>
        </w:rPr>
        <w:t>两个方法</w:t>
      </w:r>
      <w:r>
        <w:t>在统计学上</w:t>
      </w:r>
      <w:r>
        <w:rPr>
          <w:rFonts w:hint="eastAsia"/>
        </w:rPr>
        <w:t>无</w:t>
      </w:r>
      <w:r>
        <w:t>显著性差异。</w:t>
      </w:r>
    </w:p>
    <w:p w14:paraId="49D76C74" w14:textId="77777777" w:rsidR="00182D0F" w:rsidRDefault="00000000">
      <w:pPr>
        <w:pStyle w:val="af1"/>
        <w:tabs>
          <w:tab w:val="center" w:pos="4201"/>
          <w:tab w:val="right" w:leader="dot" w:pos="9298"/>
        </w:tabs>
        <w:ind w:firstLine="420"/>
        <w:rPr>
          <w:rFonts w:hAnsi="宋体" w:hint="eastAsia"/>
        </w:rPr>
      </w:pPr>
      <w:r>
        <w:rPr>
          <w:rFonts w:hAnsi="宋体" w:hint="eastAsia"/>
          <w:bCs/>
        </w:rPr>
        <w:t>九个样品新旧方法测试结果无显著性差异，因此将之前标准中“脂肪酸盐转化为脂肪酸再转化为脂肪酸盐恒重”变为“脂肪酸盐转化为脂肪酸恒重再转化为脂肪酸盐”，这样操作原因：一是使操作步骤简化（不用在烧瓶中铺展残余物，残余物的铺展不易均匀，容易包裹也不利于恒重），二是恒重时间缩短（一般两次五个小时就可以达到恒重要求，之前六小时以上）。</w:t>
      </w:r>
    </w:p>
    <w:p w14:paraId="68688311" w14:textId="77777777" w:rsidR="00182D0F" w:rsidRDefault="00000000">
      <w:pPr>
        <w:jc w:val="left"/>
        <w:rPr>
          <w:rFonts w:ascii="宋体" w:hAnsi="宋体" w:hint="eastAsia"/>
          <w:b/>
          <w:szCs w:val="21"/>
        </w:rPr>
      </w:pPr>
      <w:r>
        <w:rPr>
          <w:rFonts w:ascii="宋体" w:hAnsi="宋体" w:hint="eastAsia"/>
          <w:b/>
          <w:szCs w:val="21"/>
        </w:rPr>
        <w:t>四、标准中涉及专利的情况</w:t>
      </w:r>
    </w:p>
    <w:p w14:paraId="0C7916B8" w14:textId="77777777" w:rsidR="00182D0F" w:rsidRDefault="00000000">
      <w:pPr>
        <w:spacing w:beforeLines="50" w:before="156" w:afterLines="50" w:after="156"/>
        <w:ind w:firstLineChars="200" w:firstLine="420"/>
        <w:rPr>
          <w:szCs w:val="21"/>
        </w:rPr>
      </w:pPr>
      <w:r>
        <w:rPr>
          <w:rFonts w:hint="eastAsia"/>
          <w:szCs w:val="21"/>
        </w:rPr>
        <w:t>本标准中不涉及专利问题。</w:t>
      </w:r>
    </w:p>
    <w:p w14:paraId="1C6947C5" w14:textId="77777777" w:rsidR="00182D0F" w:rsidRDefault="00000000">
      <w:pPr>
        <w:spacing w:beforeLines="50" w:before="156" w:afterLines="50" w:after="156"/>
        <w:rPr>
          <w:rFonts w:ascii="宋体" w:hAnsi="宋体" w:hint="eastAsia"/>
          <w:b/>
          <w:szCs w:val="21"/>
        </w:rPr>
      </w:pPr>
      <w:r>
        <w:rPr>
          <w:rFonts w:ascii="宋体" w:hAnsi="宋体" w:hint="eastAsia"/>
          <w:b/>
          <w:szCs w:val="21"/>
        </w:rPr>
        <w:t>五、预期达到的社会效益等情况、对产业发展的作用等情况</w:t>
      </w:r>
    </w:p>
    <w:p w14:paraId="0DF30984" w14:textId="77777777" w:rsidR="00182D0F" w:rsidRDefault="00000000">
      <w:pPr>
        <w:ind w:firstLineChars="200" w:firstLine="420"/>
      </w:pPr>
      <w:r>
        <w:rPr>
          <w:rFonts w:hint="eastAsia"/>
        </w:rPr>
        <w:t>本标准为检测各类洗涤剂产品的基础分析方法标准，为各洗涤剂产品标准所引用，是洗涤用品产品质量评价技术手段，是企业、政府、市场评估产品的工具。</w:t>
      </w:r>
    </w:p>
    <w:p w14:paraId="3FC0C23A" w14:textId="77777777" w:rsidR="00182D0F" w:rsidRDefault="00000000">
      <w:pPr>
        <w:spacing w:beforeLines="50" w:before="156" w:afterLines="50" w:after="156"/>
        <w:rPr>
          <w:rFonts w:ascii="宋体" w:hAnsi="宋体" w:hint="eastAsia"/>
          <w:b/>
          <w:szCs w:val="21"/>
        </w:rPr>
      </w:pPr>
      <w:r>
        <w:rPr>
          <w:rFonts w:ascii="宋体" w:hAnsi="宋体" w:hint="eastAsia"/>
          <w:b/>
          <w:szCs w:val="21"/>
        </w:rPr>
        <w:t>六、与国际、国外对比情况</w:t>
      </w:r>
    </w:p>
    <w:p w14:paraId="60E80A87" w14:textId="77777777" w:rsidR="00182D0F" w:rsidRDefault="00000000">
      <w:pPr>
        <w:ind w:firstLineChars="200" w:firstLine="420"/>
        <w:jc w:val="left"/>
        <w:rPr>
          <w:szCs w:val="21"/>
        </w:rPr>
      </w:pPr>
      <w:r>
        <w:rPr>
          <w:rFonts w:hint="eastAsia"/>
          <w:szCs w:val="21"/>
        </w:rPr>
        <w:t>本标准中一些具体的检测方法，修改采用了</w:t>
      </w:r>
      <w:r>
        <w:rPr>
          <w:rFonts w:hint="eastAsia"/>
          <w:szCs w:val="21"/>
        </w:rPr>
        <w:t>ISO 607:1980</w:t>
      </w:r>
      <w:r>
        <w:rPr>
          <w:rFonts w:hint="eastAsia"/>
          <w:szCs w:val="21"/>
        </w:rPr>
        <w:t>、</w:t>
      </w:r>
      <w:r>
        <w:rPr>
          <w:rFonts w:hint="eastAsia"/>
          <w:szCs w:val="21"/>
        </w:rPr>
        <w:t>ISO 697:1981</w:t>
      </w:r>
      <w:r>
        <w:rPr>
          <w:rFonts w:hint="eastAsia"/>
          <w:szCs w:val="21"/>
        </w:rPr>
        <w:t>、</w:t>
      </w:r>
      <w:r>
        <w:rPr>
          <w:rFonts w:hint="eastAsia"/>
          <w:szCs w:val="21"/>
        </w:rPr>
        <w:t>ISO 4313:1976</w:t>
      </w:r>
      <w:r>
        <w:rPr>
          <w:rFonts w:hint="eastAsia"/>
          <w:szCs w:val="21"/>
        </w:rPr>
        <w:t>、</w:t>
      </w:r>
      <w:r>
        <w:rPr>
          <w:rFonts w:hint="eastAsia"/>
          <w:szCs w:val="21"/>
        </w:rPr>
        <w:t>ISO 4321:1977</w:t>
      </w:r>
      <w:r>
        <w:rPr>
          <w:rFonts w:hint="eastAsia"/>
          <w:szCs w:val="21"/>
        </w:rPr>
        <w:t>、</w:t>
      </w:r>
      <w:r>
        <w:rPr>
          <w:rFonts w:hint="eastAsia"/>
          <w:szCs w:val="21"/>
        </w:rPr>
        <w:t>ISO 4325:1990</w:t>
      </w:r>
      <w:r>
        <w:rPr>
          <w:rFonts w:hint="eastAsia"/>
          <w:szCs w:val="21"/>
        </w:rPr>
        <w:t>和</w:t>
      </w:r>
      <w:r>
        <w:rPr>
          <w:szCs w:val="21"/>
        </w:rPr>
        <w:t>ISO 21264:2019</w:t>
      </w:r>
      <w:r>
        <w:rPr>
          <w:rFonts w:hint="eastAsia"/>
          <w:szCs w:val="21"/>
        </w:rPr>
        <w:t>。</w:t>
      </w:r>
    </w:p>
    <w:p w14:paraId="40E8C69E" w14:textId="77777777" w:rsidR="00182D0F" w:rsidRDefault="00000000">
      <w:pPr>
        <w:spacing w:beforeLines="50" w:before="156" w:afterLines="50" w:after="156"/>
        <w:rPr>
          <w:rFonts w:ascii="宋体" w:hAnsi="宋体" w:hint="eastAsia"/>
          <w:b/>
          <w:szCs w:val="21"/>
        </w:rPr>
      </w:pPr>
      <w:r>
        <w:rPr>
          <w:rFonts w:ascii="宋体" w:hAnsi="宋体" w:hint="eastAsia"/>
          <w:b/>
          <w:szCs w:val="21"/>
        </w:rPr>
        <w:t>七、在标准体系中的位置，与现行相关法律、法规、规章及相关标准，特别是强制性标准的协调性</w:t>
      </w:r>
    </w:p>
    <w:p w14:paraId="3D18729E" w14:textId="77777777" w:rsidR="00182D0F" w:rsidRDefault="00000000">
      <w:pPr>
        <w:ind w:firstLineChars="200" w:firstLine="428"/>
        <w:rPr>
          <w:spacing w:val="2"/>
          <w:szCs w:val="21"/>
        </w:rPr>
      </w:pPr>
      <w:r>
        <w:rPr>
          <w:rFonts w:hint="eastAsia"/>
          <w:spacing w:val="2"/>
          <w:szCs w:val="21"/>
        </w:rPr>
        <w:t>本</w:t>
      </w:r>
      <w:r>
        <w:rPr>
          <w:spacing w:val="2"/>
          <w:szCs w:val="21"/>
        </w:rPr>
        <w:t>专业</w:t>
      </w:r>
      <w:r>
        <w:rPr>
          <w:rFonts w:hint="eastAsia"/>
          <w:spacing w:val="2"/>
          <w:szCs w:val="21"/>
        </w:rPr>
        <w:t>领域的标准体系框架如图。</w:t>
      </w:r>
    </w:p>
    <w:p w14:paraId="6DF1DB5B" w14:textId="77777777" w:rsidR="00182D0F" w:rsidRDefault="00000000">
      <w:pPr>
        <w:jc w:val="center"/>
        <w:rPr>
          <w:spacing w:val="2"/>
          <w:szCs w:val="21"/>
        </w:rPr>
      </w:pPr>
      <w:r>
        <w:rPr>
          <w:noProof/>
          <w:spacing w:val="2"/>
          <w:szCs w:val="21"/>
        </w:rPr>
        <w:lastRenderedPageBreak/>
        <w:drawing>
          <wp:inline distT="0" distB="0" distL="0" distR="0" wp14:anchorId="6A36D6B3" wp14:editId="54D7785A">
            <wp:extent cx="5080635" cy="3618230"/>
            <wp:effectExtent l="0" t="0" r="5715" b="1270"/>
            <wp:docPr id="1" name="图片 1" descr="标准体系框图-洗涤用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标准体系框图-洗涤用品"/>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084532" cy="3621179"/>
                    </a:xfrm>
                    <a:prstGeom prst="rect">
                      <a:avLst/>
                    </a:prstGeom>
                    <a:noFill/>
                    <a:ln>
                      <a:noFill/>
                    </a:ln>
                  </pic:spPr>
                </pic:pic>
              </a:graphicData>
            </a:graphic>
          </wp:inline>
        </w:drawing>
      </w:r>
    </w:p>
    <w:p w14:paraId="72792898" w14:textId="77777777" w:rsidR="00182D0F" w:rsidRDefault="00000000">
      <w:pPr>
        <w:ind w:firstLineChars="200" w:firstLine="428"/>
        <w:rPr>
          <w:spacing w:val="2"/>
          <w:szCs w:val="21"/>
        </w:rPr>
      </w:pPr>
      <w:r>
        <w:rPr>
          <w:rFonts w:hint="eastAsia"/>
          <w:spacing w:val="2"/>
          <w:szCs w:val="21"/>
        </w:rPr>
        <w:t>本标准属</w:t>
      </w:r>
      <w:r>
        <w:rPr>
          <w:rFonts w:hint="eastAsia"/>
          <w:spacing w:val="2"/>
          <w:szCs w:val="21"/>
        </w:rPr>
        <w:t>05</w:t>
      </w:r>
      <w:r>
        <w:rPr>
          <w:rFonts w:hint="eastAsia"/>
          <w:spacing w:val="2"/>
          <w:szCs w:val="21"/>
        </w:rPr>
        <w:t>日用化学制品－</w:t>
      </w:r>
      <w:r>
        <w:rPr>
          <w:rFonts w:hint="eastAsia"/>
          <w:spacing w:val="2"/>
          <w:szCs w:val="21"/>
        </w:rPr>
        <w:t>0</w:t>
      </w:r>
      <w:r>
        <w:rPr>
          <w:spacing w:val="2"/>
          <w:szCs w:val="21"/>
        </w:rPr>
        <w:t>7</w:t>
      </w:r>
      <w:r>
        <w:rPr>
          <w:rFonts w:hint="eastAsia"/>
          <w:spacing w:val="2"/>
          <w:szCs w:val="21"/>
        </w:rPr>
        <w:t>清洁卫生用品－</w:t>
      </w:r>
      <w:r>
        <w:rPr>
          <w:rFonts w:hint="eastAsia"/>
          <w:spacing w:val="2"/>
          <w:szCs w:val="21"/>
        </w:rPr>
        <w:t>0</w:t>
      </w:r>
      <w:r>
        <w:rPr>
          <w:spacing w:val="2"/>
          <w:szCs w:val="21"/>
        </w:rPr>
        <w:t>1</w:t>
      </w:r>
      <w:r>
        <w:rPr>
          <w:rFonts w:hint="eastAsia"/>
          <w:spacing w:val="2"/>
          <w:szCs w:val="21"/>
        </w:rPr>
        <w:t>家庭及个人用洗涤剂－方法标准。</w:t>
      </w:r>
    </w:p>
    <w:p w14:paraId="2D1736D9" w14:textId="77777777" w:rsidR="00182D0F" w:rsidRDefault="00000000">
      <w:pPr>
        <w:ind w:firstLineChars="200" w:firstLine="428"/>
        <w:rPr>
          <w:spacing w:val="2"/>
          <w:szCs w:val="21"/>
        </w:rPr>
      </w:pPr>
      <w:r>
        <w:rPr>
          <w:rFonts w:hint="eastAsia"/>
          <w:spacing w:val="2"/>
          <w:szCs w:val="21"/>
        </w:rPr>
        <w:t>本标准与现行相关法律、法规、规章及相关标准没有冲突。</w:t>
      </w:r>
    </w:p>
    <w:p w14:paraId="6E9FDE66" w14:textId="77777777" w:rsidR="00182D0F" w:rsidRDefault="00000000">
      <w:pPr>
        <w:spacing w:beforeLines="50" w:before="156" w:afterLines="50" w:after="156"/>
        <w:rPr>
          <w:rFonts w:ascii="宋体" w:hAnsi="宋体" w:hint="eastAsia"/>
          <w:b/>
          <w:szCs w:val="21"/>
        </w:rPr>
      </w:pPr>
      <w:r>
        <w:rPr>
          <w:rFonts w:ascii="宋体" w:hAnsi="宋体" w:hint="eastAsia"/>
          <w:b/>
          <w:szCs w:val="21"/>
        </w:rPr>
        <w:t>八、重大分歧意见的处理经过和依据</w:t>
      </w:r>
    </w:p>
    <w:p w14:paraId="0623D868" w14:textId="77777777" w:rsidR="00182D0F" w:rsidRDefault="00000000">
      <w:pPr>
        <w:ind w:firstLineChars="200" w:firstLine="420"/>
        <w:rPr>
          <w:rFonts w:ascii="ˎ̥" w:hAnsi="ˎ̥" w:hint="eastAsia"/>
          <w:szCs w:val="21"/>
        </w:rPr>
      </w:pPr>
      <w:r>
        <w:rPr>
          <w:rFonts w:ascii="ˎ̥" w:hAnsi="ˎ̥" w:hint="eastAsia"/>
          <w:szCs w:val="21"/>
        </w:rPr>
        <w:t>无。</w:t>
      </w:r>
    </w:p>
    <w:p w14:paraId="2831D03F" w14:textId="77777777" w:rsidR="00182D0F" w:rsidRDefault="00000000">
      <w:pPr>
        <w:spacing w:beforeLines="50" w:before="156" w:afterLines="50" w:after="156"/>
        <w:rPr>
          <w:rFonts w:ascii="宋体" w:hAnsi="宋体" w:hint="eastAsia"/>
          <w:b/>
          <w:szCs w:val="21"/>
        </w:rPr>
      </w:pPr>
      <w:r>
        <w:rPr>
          <w:rFonts w:ascii="宋体" w:hAnsi="宋体" w:hint="eastAsia"/>
          <w:b/>
          <w:szCs w:val="21"/>
        </w:rPr>
        <w:t>九、标准性质的建议说明</w:t>
      </w:r>
    </w:p>
    <w:p w14:paraId="1A0EB8C9" w14:textId="77777777" w:rsidR="00182D0F" w:rsidRDefault="00000000">
      <w:pPr>
        <w:spacing w:beforeLines="30" w:before="93" w:afterLines="30" w:after="93"/>
        <w:ind w:firstLineChars="200" w:firstLine="420"/>
        <w:rPr>
          <w:rFonts w:ascii="ˎ̥" w:hAnsi="ˎ̥" w:hint="eastAsia"/>
          <w:szCs w:val="21"/>
        </w:rPr>
      </w:pPr>
      <w:r>
        <w:rPr>
          <w:rFonts w:ascii="ˎ̥" w:hAnsi="ˎ̥" w:hint="eastAsia"/>
          <w:szCs w:val="21"/>
        </w:rPr>
        <w:t>本标准性质为推荐性国家标准。</w:t>
      </w:r>
    </w:p>
    <w:p w14:paraId="41D3BDD4" w14:textId="77777777" w:rsidR="00182D0F" w:rsidRDefault="00000000">
      <w:pPr>
        <w:spacing w:beforeLines="50" w:before="156" w:afterLines="50" w:after="156"/>
        <w:rPr>
          <w:rFonts w:ascii="宋体" w:hAnsi="宋体" w:hint="eastAsia"/>
          <w:b/>
          <w:szCs w:val="21"/>
        </w:rPr>
      </w:pPr>
      <w:r>
        <w:rPr>
          <w:rFonts w:ascii="宋体" w:hAnsi="宋体" w:hint="eastAsia"/>
          <w:b/>
          <w:szCs w:val="21"/>
        </w:rPr>
        <w:t>十、贯彻标准的要求和措施建议</w:t>
      </w:r>
    </w:p>
    <w:p w14:paraId="73263A71" w14:textId="77777777" w:rsidR="00182D0F" w:rsidRDefault="00000000">
      <w:pPr>
        <w:spacing w:beforeLines="30" w:before="93" w:afterLines="30" w:after="93"/>
        <w:ind w:firstLineChars="200" w:firstLine="420"/>
        <w:rPr>
          <w:rFonts w:ascii="ˎ̥" w:hAnsi="ˎ̥" w:hint="eastAsia"/>
          <w:szCs w:val="21"/>
        </w:rPr>
      </w:pPr>
      <w:r>
        <w:rPr>
          <w:rFonts w:ascii="ˎ̥" w:hAnsi="ˎ̥" w:hint="eastAsia"/>
          <w:szCs w:val="21"/>
        </w:rPr>
        <w:t>建议本标准批准</w:t>
      </w:r>
      <w:r>
        <w:rPr>
          <w:rFonts w:hint="eastAsia"/>
          <w:szCs w:val="21"/>
        </w:rPr>
        <w:t>发布</w:t>
      </w:r>
      <w:r>
        <w:rPr>
          <w:rFonts w:hint="eastAsia"/>
          <w:szCs w:val="21"/>
        </w:rPr>
        <w:t>6</w:t>
      </w:r>
      <w:r>
        <w:rPr>
          <w:rFonts w:hint="eastAsia"/>
          <w:szCs w:val="21"/>
        </w:rPr>
        <w:t>个月后</w:t>
      </w:r>
      <w:r>
        <w:rPr>
          <w:rFonts w:ascii="ˎ̥" w:hAnsi="ˎ̥" w:hint="eastAsia"/>
          <w:szCs w:val="21"/>
        </w:rPr>
        <w:t>实施。</w:t>
      </w:r>
    </w:p>
    <w:p w14:paraId="1C9CE562" w14:textId="77777777" w:rsidR="00182D0F" w:rsidRDefault="00000000">
      <w:pPr>
        <w:spacing w:beforeLines="50" w:before="156" w:afterLines="50" w:after="156"/>
        <w:rPr>
          <w:rFonts w:ascii="宋体" w:hAnsi="宋体" w:hint="eastAsia"/>
          <w:b/>
          <w:szCs w:val="21"/>
        </w:rPr>
      </w:pPr>
      <w:r>
        <w:rPr>
          <w:rFonts w:ascii="宋体" w:hAnsi="宋体" w:hint="eastAsia"/>
          <w:b/>
          <w:szCs w:val="21"/>
        </w:rPr>
        <w:t>十一、废止现行相关标准的建议</w:t>
      </w:r>
    </w:p>
    <w:p w14:paraId="4A189C78" w14:textId="77777777" w:rsidR="00182D0F" w:rsidRDefault="00000000">
      <w:pPr>
        <w:ind w:firstLineChars="200" w:firstLine="420"/>
        <w:rPr>
          <w:rFonts w:ascii="ˎ̥" w:hAnsi="ˎ̥" w:hint="eastAsia"/>
          <w:szCs w:val="21"/>
        </w:rPr>
      </w:pPr>
      <w:r>
        <w:rPr>
          <w:rFonts w:ascii="ˎ̥" w:hAnsi="ˎ̥" w:hint="eastAsia"/>
          <w:szCs w:val="21"/>
        </w:rPr>
        <w:t>建议废止</w:t>
      </w:r>
      <w:r>
        <w:rPr>
          <w:rFonts w:hint="eastAsia"/>
          <w:szCs w:val="21"/>
          <w:lang w:val="fr-FR"/>
        </w:rPr>
        <w:t>GB/T 1317</w:t>
      </w:r>
      <w:r>
        <w:rPr>
          <w:rFonts w:hint="eastAsia"/>
          <w:szCs w:val="21"/>
        </w:rPr>
        <w:t>3-2021</w:t>
      </w:r>
      <w:r>
        <w:rPr>
          <w:rFonts w:ascii="ˎ̥" w:hAnsi="ˎ̥" w:hint="eastAsia"/>
          <w:szCs w:val="21"/>
        </w:rPr>
        <w:t>。</w:t>
      </w:r>
    </w:p>
    <w:p w14:paraId="2D378674" w14:textId="77777777" w:rsidR="00182D0F" w:rsidRDefault="00000000">
      <w:pPr>
        <w:spacing w:beforeLines="50" w:before="156" w:afterLines="50" w:after="156"/>
        <w:rPr>
          <w:rFonts w:ascii="宋体" w:hAnsi="宋体" w:hint="eastAsia"/>
          <w:b/>
          <w:szCs w:val="21"/>
        </w:rPr>
      </w:pPr>
      <w:r>
        <w:rPr>
          <w:rFonts w:ascii="宋体" w:hAnsi="宋体" w:hint="eastAsia"/>
          <w:b/>
          <w:szCs w:val="21"/>
        </w:rPr>
        <w:t>十二、其他应予说明的事项</w:t>
      </w:r>
    </w:p>
    <w:p w14:paraId="462DE855" w14:textId="77777777" w:rsidR="00182D0F" w:rsidRDefault="00000000">
      <w:pPr>
        <w:ind w:firstLineChars="200" w:firstLine="420"/>
        <w:rPr>
          <w:rFonts w:ascii="ˎ̥" w:hAnsi="ˎ̥" w:hint="eastAsia"/>
          <w:szCs w:val="21"/>
        </w:rPr>
      </w:pPr>
      <w:r>
        <w:rPr>
          <w:rFonts w:ascii="ˎ̥" w:hAnsi="ˎ̥" w:hint="eastAsia"/>
          <w:szCs w:val="21"/>
        </w:rPr>
        <w:t>无</w:t>
      </w:r>
    </w:p>
    <w:sectPr w:rsidR="00182D0F">
      <w:pgSz w:w="11906" w:h="16838"/>
      <w:pgMar w:top="1417" w:right="1417" w:bottom="1417" w:left="1417" w:header="851" w:footer="992" w:gutter="0"/>
      <w:cols w:space="720"/>
      <w:rtlGutter/>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ˎ̥">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numFmt w:val="none"/>
      <w:lvlText w:val=""/>
      <w:lvlJc w:val="left"/>
      <w:pPr>
        <w:tabs>
          <w:tab w:val="left" w:pos="360"/>
        </w:tabs>
      </w:pPr>
    </w:lvl>
    <w:lvl w:ilvl="1">
      <w:start w:val="1"/>
      <w:numFmt w:val="decimal"/>
      <w:pStyle w:val="a"/>
      <w:suff w:val="nothing"/>
      <w:lvlText w:val="%1%2　"/>
      <w:lvlJc w:val="left"/>
      <w:pPr>
        <w:ind w:left="0" w:firstLine="0"/>
      </w:pPr>
      <w:rPr>
        <w:rFonts w:ascii="黑体" w:eastAsia="黑体" w:hAnsi="Times New Roman" w:hint="eastAsia"/>
        <w:b w:val="0"/>
        <w:i w:val="0"/>
        <w:sz w:val="21"/>
        <w:szCs w:val="21"/>
      </w:rPr>
    </w:lvl>
    <w:lvl w:ilvl="2">
      <w:start w:val="1"/>
      <w:numFmt w:val="decimal"/>
      <w:suff w:val="nothing"/>
      <w:lvlText w:val="%1%2.%3　"/>
      <w:lvlJc w:val="left"/>
      <w:pPr>
        <w:ind w:left="71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5CFB6B10"/>
    <w:multiLevelType w:val="singleLevel"/>
    <w:tmpl w:val="5CFB6B10"/>
    <w:lvl w:ilvl="0">
      <w:start w:val="4"/>
      <w:numFmt w:val="decimal"/>
      <w:suff w:val="nothing"/>
      <w:lvlText w:val="%1、"/>
      <w:lvlJc w:val="left"/>
    </w:lvl>
  </w:abstractNum>
  <w:num w:numId="1" w16cid:durableId="632952390">
    <w:abstractNumId w:val="0"/>
  </w:num>
  <w:num w:numId="2" w16cid:durableId="15581277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oNotShadeFormData/>
  <w:noPunctuationKerning/>
  <w:characterSpacingControl w:val="compressPunctuation"/>
  <w:doNotValidateAgainstSchema/>
  <w:doNotDemarcateInvalidXml/>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355B2"/>
    <w:rsid w:val="00035635"/>
    <w:rsid w:val="0004415C"/>
    <w:rsid w:val="000648EC"/>
    <w:rsid w:val="00072343"/>
    <w:rsid w:val="00072506"/>
    <w:rsid w:val="00080789"/>
    <w:rsid w:val="00080F8A"/>
    <w:rsid w:val="00083272"/>
    <w:rsid w:val="000A0BEC"/>
    <w:rsid w:val="000A69FE"/>
    <w:rsid w:val="000F3ABA"/>
    <w:rsid w:val="00107A7B"/>
    <w:rsid w:val="00107D7B"/>
    <w:rsid w:val="001343ED"/>
    <w:rsid w:val="00156A1D"/>
    <w:rsid w:val="00165B03"/>
    <w:rsid w:val="00170FEC"/>
    <w:rsid w:val="00172A27"/>
    <w:rsid w:val="00174FBF"/>
    <w:rsid w:val="00176175"/>
    <w:rsid w:val="00182D0F"/>
    <w:rsid w:val="00197752"/>
    <w:rsid w:val="001A48D3"/>
    <w:rsid w:val="001B1383"/>
    <w:rsid w:val="001C36E8"/>
    <w:rsid w:val="001C7E86"/>
    <w:rsid w:val="00212C01"/>
    <w:rsid w:val="00216276"/>
    <w:rsid w:val="00217C63"/>
    <w:rsid w:val="00223BAB"/>
    <w:rsid w:val="002255CE"/>
    <w:rsid w:val="00266A60"/>
    <w:rsid w:val="002916E3"/>
    <w:rsid w:val="002A31AB"/>
    <w:rsid w:val="002A3C81"/>
    <w:rsid w:val="002A5210"/>
    <w:rsid w:val="002A624C"/>
    <w:rsid w:val="002B2588"/>
    <w:rsid w:val="002B2612"/>
    <w:rsid w:val="002C521E"/>
    <w:rsid w:val="002D349D"/>
    <w:rsid w:val="002D6075"/>
    <w:rsid w:val="002F65F4"/>
    <w:rsid w:val="00312D3D"/>
    <w:rsid w:val="003208E5"/>
    <w:rsid w:val="00320F76"/>
    <w:rsid w:val="00325294"/>
    <w:rsid w:val="00335FE2"/>
    <w:rsid w:val="00344681"/>
    <w:rsid w:val="00346F65"/>
    <w:rsid w:val="00356D1B"/>
    <w:rsid w:val="00380125"/>
    <w:rsid w:val="003903B8"/>
    <w:rsid w:val="003910D7"/>
    <w:rsid w:val="00392259"/>
    <w:rsid w:val="003A6936"/>
    <w:rsid w:val="003B2F2C"/>
    <w:rsid w:val="003E01AB"/>
    <w:rsid w:val="003F463C"/>
    <w:rsid w:val="004163DA"/>
    <w:rsid w:val="004523FC"/>
    <w:rsid w:val="00455721"/>
    <w:rsid w:val="00462A66"/>
    <w:rsid w:val="00480B07"/>
    <w:rsid w:val="004A04A3"/>
    <w:rsid w:val="004A4A81"/>
    <w:rsid w:val="004A7188"/>
    <w:rsid w:val="004B6528"/>
    <w:rsid w:val="004C1C51"/>
    <w:rsid w:val="004F53C2"/>
    <w:rsid w:val="00512CBA"/>
    <w:rsid w:val="00513D83"/>
    <w:rsid w:val="00530A92"/>
    <w:rsid w:val="005376DA"/>
    <w:rsid w:val="00537FF1"/>
    <w:rsid w:val="00543985"/>
    <w:rsid w:val="005554C6"/>
    <w:rsid w:val="00576C44"/>
    <w:rsid w:val="0058784B"/>
    <w:rsid w:val="00590203"/>
    <w:rsid w:val="00595986"/>
    <w:rsid w:val="005A00BD"/>
    <w:rsid w:val="005B39EB"/>
    <w:rsid w:val="005B6349"/>
    <w:rsid w:val="005D436C"/>
    <w:rsid w:val="005E312A"/>
    <w:rsid w:val="00615F99"/>
    <w:rsid w:val="006221C5"/>
    <w:rsid w:val="00627C8B"/>
    <w:rsid w:val="00630038"/>
    <w:rsid w:val="00634E46"/>
    <w:rsid w:val="006609F8"/>
    <w:rsid w:val="0069696A"/>
    <w:rsid w:val="00697671"/>
    <w:rsid w:val="006A065E"/>
    <w:rsid w:val="006A3E76"/>
    <w:rsid w:val="006B7D96"/>
    <w:rsid w:val="006C2A35"/>
    <w:rsid w:val="006C7654"/>
    <w:rsid w:val="006E4952"/>
    <w:rsid w:val="006F1BFC"/>
    <w:rsid w:val="00717F83"/>
    <w:rsid w:val="00725746"/>
    <w:rsid w:val="00743696"/>
    <w:rsid w:val="0075230E"/>
    <w:rsid w:val="0075607A"/>
    <w:rsid w:val="007737A5"/>
    <w:rsid w:val="00776FB6"/>
    <w:rsid w:val="007900BB"/>
    <w:rsid w:val="00792C5F"/>
    <w:rsid w:val="00795E8D"/>
    <w:rsid w:val="007B2482"/>
    <w:rsid w:val="007B3738"/>
    <w:rsid w:val="007D015A"/>
    <w:rsid w:val="007D1340"/>
    <w:rsid w:val="0080526C"/>
    <w:rsid w:val="008175D3"/>
    <w:rsid w:val="00827DDB"/>
    <w:rsid w:val="00836424"/>
    <w:rsid w:val="00840723"/>
    <w:rsid w:val="0085460A"/>
    <w:rsid w:val="0085625A"/>
    <w:rsid w:val="008637F4"/>
    <w:rsid w:val="00866660"/>
    <w:rsid w:val="0087058B"/>
    <w:rsid w:val="00876F83"/>
    <w:rsid w:val="00893E4F"/>
    <w:rsid w:val="008B08AB"/>
    <w:rsid w:val="008B483B"/>
    <w:rsid w:val="008D0491"/>
    <w:rsid w:val="008D2569"/>
    <w:rsid w:val="008D7C45"/>
    <w:rsid w:val="008E1A25"/>
    <w:rsid w:val="00910158"/>
    <w:rsid w:val="00917EF0"/>
    <w:rsid w:val="00925AC6"/>
    <w:rsid w:val="00940FB9"/>
    <w:rsid w:val="0094233F"/>
    <w:rsid w:val="009555B3"/>
    <w:rsid w:val="00964CA0"/>
    <w:rsid w:val="00964DAD"/>
    <w:rsid w:val="00970B80"/>
    <w:rsid w:val="00982E64"/>
    <w:rsid w:val="0098454B"/>
    <w:rsid w:val="00997A7A"/>
    <w:rsid w:val="009A0BF3"/>
    <w:rsid w:val="009B5AC5"/>
    <w:rsid w:val="009C15D4"/>
    <w:rsid w:val="009D535E"/>
    <w:rsid w:val="00A11451"/>
    <w:rsid w:val="00A23C50"/>
    <w:rsid w:val="00A26977"/>
    <w:rsid w:val="00A27A28"/>
    <w:rsid w:val="00A34BE1"/>
    <w:rsid w:val="00A41459"/>
    <w:rsid w:val="00A45264"/>
    <w:rsid w:val="00A47A41"/>
    <w:rsid w:val="00A54D10"/>
    <w:rsid w:val="00A55B1E"/>
    <w:rsid w:val="00A571C9"/>
    <w:rsid w:val="00A57987"/>
    <w:rsid w:val="00A879B1"/>
    <w:rsid w:val="00A90D76"/>
    <w:rsid w:val="00A933A2"/>
    <w:rsid w:val="00A96630"/>
    <w:rsid w:val="00A97D95"/>
    <w:rsid w:val="00AA2B2B"/>
    <w:rsid w:val="00AA4EB1"/>
    <w:rsid w:val="00AB3792"/>
    <w:rsid w:val="00AC3EF3"/>
    <w:rsid w:val="00AE2543"/>
    <w:rsid w:val="00AF1753"/>
    <w:rsid w:val="00AF5850"/>
    <w:rsid w:val="00B043E1"/>
    <w:rsid w:val="00B0781E"/>
    <w:rsid w:val="00B24E2A"/>
    <w:rsid w:val="00B318F1"/>
    <w:rsid w:val="00B50C6A"/>
    <w:rsid w:val="00B726BA"/>
    <w:rsid w:val="00B7426E"/>
    <w:rsid w:val="00B77559"/>
    <w:rsid w:val="00B82813"/>
    <w:rsid w:val="00B942DA"/>
    <w:rsid w:val="00BA66AA"/>
    <w:rsid w:val="00BA7838"/>
    <w:rsid w:val="00BB2740"/>
    <w:rsid w:val="00BC62DE"/>
    <w:rsid w:val="00BD23B4"/>
    <w:rsid w:val="00BD6C7C"/>
    <w:rsid w:val="00BE39C1"/>
    <w:rsid w:val="00BF214F"/>
    <w:rsid w:val="00BF363B"/>
    <w:rsid w:val="00C2066C"/>
    <w:rsid w:val="00C22D13"/>
    <w:rsid w:val="00C4685F"/>
    <w:rsid w:val="00C50775"/>
    <w:rsid w:val="00C5087F"/>
    <w:rsid w:val="00C50BE0"/>
    <w:rsid w:val="00C55BA3"/>
    <w:rsid w:val="00C56EDB"/>
    <w:rsid w:val="00C741AC"/>
    <w:rsid w:val="00C805E1"/>
    <w:rsid w:val="00C91968"/>
    <w:rsid w:val="00C92FD6"/>
    <w:rsid w:val="00C97A77"/>
    <w:rsid w:val="00CA1961"/>
    <w:rsid w:val="00CC1C32"/>
    <w:rsid w:val="00CD4D50"/>
    <w:rsid w:val="00CD70FB"/>
    <w:rsid w:val="00CE6AD1"/>
    <w:rsid w:val="00CE78F6"/>
    <w:rsid w:val="00D10E26"/>
    <w:rsid w:val="00D11738"/>
    <w:rsid w:val="00D13117"/>
    <w:rsid w:val="00D16C4D"/>
    <w:rsid w:val="00D25585"/>
    <w:rsid w:val="00D32849"/>
    <w:rsid w:val="00D405A5"/>
    <w:rsid w:val="00D47506"/>
    <w:rsid w:val="00D55953"/>
    <w:rsid w:val="00D70DDF"/>
    <w:rsid w:val="00D74BC5"/>
    <w:rsid w:val="00DA0D10"/>
    <w:rsid w:val="00DA7FE8"/>
    <w:rsid w:val="00DD0FA3"/>
    <w:rsid w:val="00DD65A9"/>
    <w:rsid w:val="00DD7081"/>
    <w:rsid w:val="00E4489F"/>
    <w:rsid w:val="00E57706"/>
    <w:rsid w:val="00E6597A"/>
    <w:rsid w:val="00E831D0"/>
    <w:rsid w:val="00E90C39"/>
    <w:rsid w:val="00E91730"/>
    <w:rsid w:val="00EA246B"/>
    <w:rsid w:val="00EC02C3"/>
    <w:rsid w:val="00ED0711"/>
    <w:rsid w:val="00ED54D5"/>
    <w:rsid w:val="00EF21E0"/>
    <w:rsid w:val="00F15213"/>
    <w:rsid w:val="00F2740E"/>
    <w:rsid w:val="00F30A87"/>
    <w:rsid w:val="00F37782"/>
    <w:rsid w:val="00F44A1B"/>
    <w:rsid w:val="00F6170E"/>
    <w:rsid w:val="00F6529F"/>
    <w:rsid w:val="00F67536"/>
    <w:rsid w:val="00F709C4"/>
    <w:rsid w:val="00F82F2E"/>
    <w:rsid w:val="00F92102"/>
    <w:rsid w:val="00FC3C65"/>
    <w:rsid w:val="00FC5520"/>
    <w:rsid w:val="00FC7875"/>
    <w:rsid w:val="00FF1056"/>
    <w:rsid w:val="00FF4E23"/>
    <w:rsid w:val="583D7215"/>
    <w:rsid w:val="5B7B4BB1"/>
    <w:rsid w:val="60CF6A01"/>
    <w:rsid w:val="70755580"/>
    <w:rsid w:val="7EFE4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040C8B"/>
  <w14:defaultImageDpi w14:val="96"/>
  <w15:docId w15:val="{286C7CA0-BC91-48D3-A43A-D219AEA23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uiPriority="0"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Plain Text"/>
    <w:basedOn w:val="a0"/>
    <w:link w:val="a5"/>
    <w:qFormat/>
    <w:rPr>
      <w:rFonts w:ascii="宋体" w:hAnsi="Courier New" w:cs="Courier New"/>
      <w:szCs w:val="21"/>
    </w:rPr>
  </w:style>
  <w:style w:type="paragraph" w:styleId="a6">
    <w:name w:val="Date"/>
    <w:basedOn w:val="a0"/>
    <w:next w:val="a0"/>
    <w:link w:val="a7"/>
    <w:qFormat/>
    <w:pPr>
      <w:ind w:leftChars="2500" w:left="100"/>
    </w:pPr>
  </w:style>
  <w:style w:type="paragraph" w:styleId="a8">
    <w:name w:val="Balloon Text"/>
    <w:basedOn w:val="a0"/>
    <w:link w:val="a9"/>
    <w:rPr>
      <w:kern w:val="0"/>
      <w:sz w:val="18"/>
      <w:szCs w:val="18"/>
    </w:rPr>
  </w:style>
  <w:style w:type="paragraph" w:styleId="aa">
    <w:name w:val="footer"/>
    <w:basedOn w:val="a0"/>
    <w:link w:val="ab"/>
    <w:qFormat/>
    <w:pPr>
      <w:tabs>
        <w:tab w:val="center" w:pos="4153"/>
        <w:tab w:val="right" w:pos="8306"/>
      </w:tabs>
      <w:snapToGrid w:val="0"/>
      <w:jc w:val="left"/>
    </w:pPr>
    <w:rPr>
      <w:kern w:val="0"/>
      <w:sz w:val="18"/>
      <w:szCs w:val="18"/>
    </w:rPr>
  </w:style>
  <w:style w:type="paragraph" w:styleId="ac">
    <w:name w:val="header"/>
    <w:basedOn w:val="a0"/>
    <w:link w:val="ad"/>
    <w:qFormat/>
    <w:pPr>
      <w:pBdr>
        <w:bottom w:val="single" w:sz="6" w:space="1" w:color="auto"/>
      </w:pBdr>
      <w:tabs>
        <w:tab w:val="center" w:pos="4153"/>
        <w:tab w:val="right" w:pos="8306"/>
      </w:tabs>
      <w:snapToGrid w:val="0"/>
      <w:jc w:val="center"/>
    </w:pPr>
    <w:rPr>
      <w:kern w:val="0"/>
      <w:sz w:val="18"/>
      <w:szCs w:val="18"/>
    </w:rPr>
  </w:style>
  <w:style w:type="table" w:styleId="ae">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uiPriority w:val="99"/>
    <w:qFormat/>
    <w:rPr>
      <w:rFonts w:ascii="Times New Roman" w:eastAsia="宋体" w:hAnsi="Times New Roman"/>
      <w:color w:val="auto"/>
      <w:spacing w:val="0"/>
      <w:w w:val="100"/>
      <w:position w:val="0"/>
      <w:sz w:val="21"/>
      <w:u w:val="none"/>
      <w:vertAlign w:val="baseline"/>
    </w:rPr>
  </w:style>
  <w:style w:type="character" w:customStyle="1" w:styleId="a9">
    <w:name w:val="批注框文本 字符"/>
    <w:link w:val="a8"/>
    <w:rPr>
      <w:rFonts w:ascii="Times New Roman" w:eastAsia="宋体" w:hAnsi="Times New Roman" w:cs="Times New Roman"/>
      <w:sz w:val="18"/>
      <w:szCs w:val="18"/>
    </w:rPr>
  </w:style>
  <w:style w:type="character" w:customStyle="1" w:styleId="a7">
    <w:name w:val="日期 字符"/>
    <w:link w:val="a6"/>
    <w:qFormat/>
    <w:rPr>
      <w:rFonts w:ascii="Times New Roman" w:eastAsia="宋体" w:hAnsi="Times New Roman" w:cs="Times New Roman"/>
      <w:kern w:val="2"/>
      <w:sz w:val="21"/>
      <w:szCs w:val="22"/>
    </w:rPr>
  </w:style>
  <w:style w:type="character" w:customStyle="1" w:styleId="Char">
    <w:name w:val="文章正文 Char"/>
    <w:link w:val="af0"/>
    <w:qFormat/>
    <w:rPr>
      <w:rFonts w:ascii="宋体" w:eastAsia="宋体" w:hAnsi="宋体" w:cs="Times New Roman"/>
      <w:color w:val="000000"/>
      <w:kern w:val="28"/>
      <w:sz w:val="28"/>
      <w:szCs w:val="28"/>
    </w:rPr>
  </w:style>
  <w:style w:type="paragraph" w:customStyle="1" w:styleId="af0">
    <w:name w:val="文章正文"/>
    <w:basedOn w:val="a0"/>
    <w:link w:val="Char"/>
    <w:qFormat/>
    <w:pPr>
      <w:ind w:firstLineChars="200" w:firstLine="560"/>
    </w:pPr>
    <w:rPr>
      <w:rFonts w:ascii="宋体" w:hAnsi="宋体"/>
      <w:color w:val="000000"/>
      <w:kern w:val="28"/>
      <w:sz w:val="28"/>
      <w:szCs w:val="28"/>
    </w:rPr>
  </w:style>
  <w:style w:type="character" w:customStyle="1" w:styleId="ad">
    <w:name w:val="页眉 字符"/>
    <w:link w:val="ac"/>
    <w:rPr>
      <w:rFonts w:ascii="Times New Roman" w:eastAsia="宋体" w:hAnsi="Times New Roman" w:cs="Times New Roman"/>
      <w:sz w:val="18"/>
      <w:szCs w:val="18"/>
    </w:rPr>
  </w:style>
  <w:style w:type="character" w:customStyle="1" w:styleId="Char0">
    <w:name w:val="段 Char"/>
    <w:link w:val="af1"/>
    <w:rPr>
      <w:rFonts w:ascii="宋体" w:eastAsia="宋体" w:hAnsi="Times New Roman" w:cs="宋体"/>
      <w:sz w:val="21"/>
      <w:szCs w:val="21"/>
    </w:rPr>
  </w:style>
  <w:style w:type="paragraph" w:customStyle="1" w:styleId="af1">
    <w:name w:val="段"/>
    <w:link w:val="Char0"/>
    <w:qFormat/>
    <w:pPr>
      <w:autoSpaceDE w:val="0"/>
      <w:autoSpaceDN w:val="0"/>
      <w:ind w:firstLineChars="200" w:firstLine="200"/>
      <w:jc w:val="both"/>
    </w:pPr>
    <w:rPr>
      <w:rFonts w:ascii="宋体" w:cs="宋体"/>
      <w:sz w:val="21"/>
      <w:szCs w:val="21"/>
    </w:rPr>
  </w:style>
  <w:style w:type="character" w:customStyle="1" w:styleId="ab">
    <w:name w:val="页脚 字符"/>
    <w:link w:val="aa"/>
    <w:qFormat/>
    <w:rPr>
      <w:rFonts w:ascii="Times New Roman" w:eastAsia="宋体" w:hAnsi="Times New Roman" w:cs="Times New Roman"/>
      <w:sz w:val="18"/>
      <w:szCs w:val="18"/>
    </w:rPr>
  </w:style>
  <w:style w:type="character" w:styleId="af2">
    <w:name w:val="Placeholder Text"/>
    <w:qFormat/>
    <w:rPr>
      <w:rFonts w:ascii="Times New Roman" w:eastAsia="宋体" w:hAnsi="Times New Roman" w:cs="Times New Roman"/>
      <w:color w:val="808080"/>
    </w:rPr>
  </w:style>
  <w:style w:type="character" w:customStyle="1" w:styleId="a5">
    <w:name w:val="纯文本 字符"/>
    <w:link w:val="a4"/>
    <w:qFormat/>
    <w:rPr>
      <w:rFonts w:ascii="宋体" w:eastAsia="宋体" w:hAnsi="Courier New" w:cs="Courier New"/>
      <w:kern w:val="2"/>
      <w:sz w:val="21"/>
      <w:szCs w:val="21"/>
    </w:rPr>
  </w:style>
  <w:style w:type="paragraph" w:customStyle="1" w:styleId="af3">
    <w:name w:val="正文（首行缩进）"/>
    <w:basedOn w:val="a0"/>
    <w:next w:val="a0"/>
    <w:qFormat/>
    <w:pPr>
      <w:spacing w:line="440" w:lineRule="exact"/>
      <w:ind w:firstLineChars="200" w:firstLine="200"/>
    </w:pPr>
    <w:rPr>
      <w:sz w:val="24"/>
      <w:szCs w:val="24"/>
    </w:rPr>
  </w:style>
  <w:style w:type="paragraph" w:customStyle="1" w:styleId="Char1">
    <w:name w:val="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af4">
    <w:name w:val="封面标准名称"/>
    <w:qFormat/>
    <w:pPr>
      <w:widowControl w:val="0"/>
      <w:spacing w:line="680" w:lineRule="exact"/>
      <w:jc w:val="center"/>
      <w:textAlignment w:val="center"/>
    </w:pPr>
    <w:rPr>
      <w:rFonts w:ascii="黑体" w:eastAsia="黑体"/>
      <w:sz w:val="52"/>
    </w:rPr>
  </w:style>
  <w:style w:type="paragraph" w:customStyle="1" w:styleId="1">
    <w:name w:val="列出段落1"/>
    <w:basedOn w:val="a0"/>
    <w:qFormat/>
    <w:pPr>
      <w:ind w:firstLineChars="200" w:firstLine="420"/>
    </w:pPr>
  </w:style>
  <w:style w:type="paragraph" w:customStyle="1" w:styleId="a">
    <w:name w:val="章标题"/>
    <w:next w:val="a0"/>
    <w:qFormat/>
    <w:pPr>
      <w:numPr>
        <w:ilvl w:val="1"/>
        <w:numId w:val="1"/>
      </w:numPr>
      <w:spacing w:beforeLines="50" w:afterLines="50"/>
      <w:jc w:val="both"/>
      <w:outlineLvl w:val="1"/>
    </w:pPr>
    <w:rPr>
      <w:rFonts w:ascii="黑体" w:eastAsia="黑体"/>
      <w:sz w:val="21"/>
    </w:rPr>
  </w:style>
  <w:style w:type="paragraph" w:customStyle="1" w:styleId="af5">
    <w:name w:val="表格内容文字"/>
    <w:basedOn w:val="a4"/>
    <w:qFormat/>
    <w:pPr>
      <w:jc w:val="left"/>
    </w:pPr>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1416</Words>
  <Characters>1643</Characters>
  <Application>Microsoft Office Word</Application>
  <DocSecurity>0</DocSecurity>
  <Lines>82</Lines>
  <Paragraphs>113</Paragraphs>
  <ScaleCrop>false</ScaleCrop>
  <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绿色产品评价  洗涤用品编制说明</dc:title>
  <dc:creator>User</dc:creator>
  <cp:lastModifiedBy>姚晨之</cp:lastModifiedBy>
  <cp:revision>2</cp:revision>
  <dcterms:created xsi:type="dcterms:W3CDTF">2026-08-31T06:39:00Z</dcterms:created>
  <dcterms:modified xsi:type="dcterms:W3CDTF">2026-08-31T06:39:00Z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B05301C0F6BE43CE839F8CC355350DCA_13</vt:lpwstr>
  </property>
  <property fmtid="{D5CDD505-2E9C-101B-9397-08002B2CF9AE}" pid="4" name="KSOTemplateDocerSaveRecord">
    <vt:lpwstr>eyJoZGlkIjoiMjA0NjE3Mjk3MDM1MjkxM2ExZWJkNDllMWJkYmM4NWUiLCJ1c2VySWQiOiIxNzE2NDYzMDI4In0=</vt:lpwstr>
  </property>
</Properties>
</file>